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92" w:rsidRDefault="001E3EF4" w:rsidP="00D73D0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4E1624">
        <w:rPr>
          <w:rFonts w:ascii="Arial" w:eastAsia="Times New Roman" w:hAnsi="Arial" w:cs="Arial"/>
          <w:noProof/>
          <w:sz w:val="30"/>
          <w:szCs w:val="30"/>
        </w:rPr>
        <w:drawing>
          <wp:inline distT="0" distB="0" distL="0" distR="0" wp14:anchorId="52C23B18" wp14:editId="0061EDC6">
            <wp:extent cx="4779527" cy="4237990"/>
            <wp:effectExtent l="0" t="0" r="2540" b="0"/>
            <wp:docPr id="1" name="Picture 1" descr="C:\Users\User\Desktop\25.IMG_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.IMG_2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828" cy="427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24" w:rsidRDefault="00B45549" w:rsidP="00D73D05">
      <w:pPr>
        <w:spacing w:after="0" w:line="240" w:lineRule="auto"/>
        <w:rPr>
          <w:rFonts w:ascii="Arial" w:eastAsia="Times New Roman" w:hAnsi="Arial" w:cs="Arial"/>
          <w:sz w:val="30"/>
          <w:szCs w:val="30"/>
          <w:lang w:val="bg-BG"/>
        </w:rPr>
      </w:pPr>
      <w:r>
        <w:rPr>
          <w:rFonts w:ascii="Arial" w:eastAsia="Times New Roman" w:hAnsi="Arial" w:cs="Arial"/>
          <w:sz w:val="30"/>
          <w:szCs w:val="30"/>
          <w:lang w:val="bg-BG"/>
        </w:rPr>
        <w:t xml:space="preserve">        </w:t>
      </w:r>
      <w:r w:rsidR="004E1624">
        <w:rPr>
          <w:rFonts w:ascii="Arial" w:eastAsia="Times New Roman" w:hAnsi="Arial" w:cs="Arial"/>
          <w:sz w:val="30"/>
          <w:szCs w:val="30"/>
          <w:lang w:val="bg-BG"/>
        </w:rPr>
        <w:t xml:space="preserve"> </w:t>
      </w:r>
    </w:p>
    <w:p w:rsidR="004E1624" w:rsidRDefault="004E1624" w:rsidP="00D73D05">
      <w:pPr>
        <w:spacing w:after="0" w:line="240" w:lineRule="auto"/>
        <w:rPr>
          <w:rFonts w:ascii="Arial" w:eastAsia="Times New Roman" w:hAnsi="Arial" w:cs="Arial"/>
          <w:sz w:val="30"/>
          <w:szCs w:val="30"/>
          <w:lang w:val="bg-BG"/>
        </w:rPr>
      </w:pPr>
    </w:p>
    <w:p w:rsidR="00C34FBB" w:rsidRPr="001E3EF4" w:rsidRDefault="00D73D05" w:rsidP="001E3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bookmarkStart w:id="0" w:name="_GoBack"/>
      <w:r w:rsidRPr="00C26DEE">
        <w:rPr>
          <w:rFonts w:ascii="Arial" w:eastAsia="Times New Roman" w:hAnsi="Arial" w:cs="Arial"/>
          <w:sz w:val="24"/>
          <w:szCs w:val="24"/>
          <w:lang w:val="bg-BG"/>
        </w:rPr>
        <w:t xml:space="preserve">Академик </w:t>
      </w:r>
      <w:r w:rsidRPr="00C26DEE">
        <w:rPr>
          <w:rFonts w:ascii="Arial" w:eastAsia="Times New Roman" w:hAnsi="Arial" w:cs="Arial"/>
          <w:b/>
          <w:sz w:val="24"/>
          <w:szCs w:val="24"/>
          <w:lang w:val="bg-BG"/>
        </w:rPr>
        <w:t>Георги Л</w:t>
      </w:r>
      <w:r w:rsidR="00C26DEE" w:rsidRPr="00C26DEE">
        <w:rPr>
          <w:rFonts w:ascii="Arial" w:eastAsia="Times New Roman" w:hAnsi="Arial" w:cs="Arial"/>
          <w:b/>
          <w:sz w:val="24"/>
          <w:szCs w:val="24"/>
        </w:rPr>
        <w:t>юбенов</w:t>
      </w:r>
      <w:r w:rsidR="004E1624" w:rsidRPr="00C26DEE">
        <w:rPr>
          <w:rFonts w:ascii="Arial" w:eastAsia="Times New Roman" w:hAnsi="Arial" w:cs="Arial"/>
          <w:b/>
          <w:sz w:val="24"/>
          <w:szCs w:val="24"/>
          <w:lang w:val="bg-BG"/>
        </w:rPr>
        <w:t xml:space="preserve"> </w:t>
      </w:r>
      <w:r w:rsidRPr="00C26DEE">
        <w:rPr>
          <w:rFonts w:ascii="Arial" w:eastAsia="Times New Roman" w:hAnsi="Arial" w:cs="Arial"/>
          <w:b/>
          <w:sz w:val="24"/>
          <w:szCs w:val="24"/>
          <w:lang w:val="bg-BG"/>
        </w:rPr>
        <w:t>Минчев</w:t>
      </w:r>
      <w:r w:rsidR="00606592"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>е роден на 29 януари 1939 г.</w:t>
      </w:r>
      <w:r w:rsidR="00C34FBB"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в София в семейството на Любен Минчев (1904-1959) известен оперен певец и педагог. </w:t>
      </w:r>
    </w:p>
    <w:p w:rsidR="00C34FBB" w:rsidRPr="001E3EF4" w:rsidRDefault="00C34FBB" w:rsidP="001E3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През 1952 г. постъпва в Езиковата гимназия гр. Ловеч със специалност френски език. </w:t>
      </w:r>
    </w:p>
    <w:p w:rsidR="00C34FBB" w:rsidRPr="001E3EF4" w:rsidRDefault="00C34FBB" w:rsidP="001E3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През 1958 г. постъпва в </w:t>
      </w:r>
      <w:r w:rsidR="00D73D05" w:rsidRPr="001E3EF4">
        <w:rPr>
          <w:rFonts w:ascii="Arial" w:eastAsia="Times New Roman" w:hAnsi="Arial" w:cs="Arial"/>
          <w:sz w:val="24"/>
          <w:szCs w:val="24"/>
          <w:lang w:val="bg-BG"/>
        </w:rPr>
        <w:t>Българската Държавна Консерватория със специално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ст „композиция” в класа на проф. Марин Големинов. Завършва Консерваторията през 1963 г. </w:t>
      </w:r>
    </w:p>
    <w:p w:rsidR="00606592" w:rsidRPr="001E3EF4" w:rsidRDefault="00C34FBB" w:rsidP="001E3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1E3EF4">
        <w:rPr>
          <w:rFonts w:ascii="Arial" w:eastAsia="Times New Roman" w:hAnsi="Arial" w:cs="Arial"/>
          <w:sz w:val="24"/>
          <w:szCs w:val="24"/>
          <w:lang w:val="bg-BG"/>
        </w:rPr>
        <w:t>През 1968 г. в продължение на</w:t>
      </w:r>
      <w:r w:rsidR="00D73D05"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две години специализира композиция в Московската консерватория при Родион Шчедрин и паралелно при Арам Хачатурян. </w:t>
      </w:r>
      <w:r w:rsidR="00606592" w:rsidRPr="001E3EF4">
        <w:rPr>
          <w:rFonts w:ascii="Arial" w:eastAsia="Times New Roman" w:hAnsi="Arial" w:cs="Arial"/>
          <w:sz w:val="24"/>
          <w:szCs w:val="24"/>
          <w:lang w:val="bg-BG"/>
        </w:rPr>
        <w:t>Дипломира се през 1970 г.</w:t>
      </w:r>
    </w:p>
    <w:p w:rsidR="00606592" w:rsidRPr="001E3EF4" w:rsidRDefault="00D73D05" w:rsidP="001E3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През 1972 г. печели Голямата стипендия на ЮНЕСКО за „Изкуство ” и специализира в САЩ, Франция и Англия. В Парижката консерватория учи при големия френски композитор Оливие Месиан. </w:t>
      </w:r>
    </w:p>
    <w:p w:rsidR="00606592" w:rsidRPr="001E3EF4" w:rsidRDefault="00D73D05" w:rsidP="001E3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По-късно специализира в Института за Координация и Електро-акустични Изследвания </w:t>
      </w:r>
      <w:r w:rsidRPr="001E3EF4">
        <w:rPr>
          <w:rFonts w:ascii="Arial" w:eastAsia="Times New Roman" w:hAnsi="Arial" w:cs="Arial"/>
          <w:sz w:val="24"/>
          <w:szCs w:val="24"/>
        </w:rPr>
        <w:t>IRCAM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Центъра Бобур в Париж при известния съвременен композитор Лучано Берио.</w:t>
      </w:r>
    </w:p>
    <w:p w:rsidR="00D73D05" w:rsidRPr="001E3EF4" w:rsidRDefault="00D73D05" w:rsidP="001E3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През 1959 г. започва работа в Българското национално радио, работи там 40 години, като заема последователно различни длъжности. От 1989 г. е Музикален директор и Главен Художествен Ръководител на Музикалната продукция и състави 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lastRenderedPageBreak/>
        <w:t>на БНР. Успоредно с това е много години Секретар, Заместник Председател и Главен секретар на Съюза на българските композитери.</w:t>
      </w:r>
    </w:p>
    <w:p w:rsidR="00D73D05" w:rsidRPr="001E3EF4" w:rsidRDefault="00D73D05" w:rsidP="001E3E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1E3EF4">
        <w:rPr>
          <w:rFonts w:ascii="Arial" w:eastAsia="Times New Roman" w:hAnsi="Arial" w:cs="Arial"/>
          <w:sz w:val="24"/>
          <w:szCs w:val="24"/>
          <w:lang w:val="bg-BG"/>
        </w:rPr>
        <w:t>Творчеството на Минчев обхваща почти всички музикални жанрове: повече от 22 симфонични произведения, многоактен балет „</w:t>
      </w:r>
      <w:r w:rsidRPr="001E3EF4">
        <w:rPr>
          <w:rFonts w:ascii="Arial" w:eastAsia="Times New Roman" w:hAnsi="Arial" w:cs="Arial"/>
          <w:sz w:val="24"/>
          <w:szCs w:val="24"/>
        </w:rPr>
        <w:t>Fahrenheit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451”</w:t>
      </w:r>
      <w:r w:rsidR="004E1624"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 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(по Рей Бредбъри), камерна, хорова, сценична музика, повече от 100 </w:t>
      </w:r>
      <w:r w:rsidR="004E1624"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солови, хорови, детски, и други 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>песни, повече от 350 фолклорни обработки, хармонизации и оркестрации, както и музиката на 5 игрални художествени филма. По-голяма част от по-крупните му произведения са поръчка от престижни международни институции, радиоорганизации, оркестри и фестивали.</w:t>
      </w:r>
      <w:r w:rsidR="004364C1"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>Бил е член в състава на 26 международни журита, на много Международни конкурси по композиция, участвал е в Международните трибуни на музиката в Париж, Истанбул и Манила, няколко години подред е участвал в групата</w:t>
      </w:r>
      <w:r w:rsidR="004364C1"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на музикалните експерти към </w:t>
      </w:r>
      <w:r w:rsidRPr="001E3EF4">
        <w:rPr>
          <w:rFonts w:ascii="Arial" w:eastAsia="Times New Roman" w:hAnsi="Arial" w:cs="Arial"/>
          <w:sz w:val="24"/>
          <w:szCs w:val="24"/>
        </w:rPr>
        <w:t>EBU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(</w:t>
      </w:r>
      <w:r w:rsidRPr="001E3EF4">
        <w:rPr>
          <w:rFonts w:ascii="Arial" w:eastAsia="Times New Roman" w:hAnsi="Arial" w:cs="Arial"/>
          <w:sz w:val="24"/>
          <w:szCs w:val="24"/>
        </w:rPr>
        <w:t>European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1E3EF4">
        <w:rPr>
          <w:rFonts w:ascii="Arial" w:eastAsia="Times New Roman" w:hAnsi="Arial" w:cs="Arial"/>
          <w:sz w:val="24"/>
          <w:szCs w:val="24"/>
        </w:rPr>
        <w:t>Broadcasting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1E3EF4">
        <w:rPr>
          <w:rFonts w:ascii="Arial" w:eastAsia="Times New Roman" w:hAnsi="Arial" w:cs="Arial"/>
          <w:sz w:val="24"/>
          <w:szCs w:val="24"/>
        </w:rPr>
        <w:t>Union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>) в Женева. Като изпълняван автор в повече от</w:t>
      </w:r>
      <w:r w:rsidR="00606592"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14</w:t>
      </w:r>
      <w:r w:rsidR="004364C1" w:rsidRPr="001E3EF4">
        <w:rPr>
          <w:rFonts w:ascii="Arial" w:eastAsia="Times New Roman" w:hAnsi="Arial" w:cs="Arial"/>
          <w:sz w:val="24"/>
          <w:szCs w:val="24"/>
          <w:lang w:val="bg-BG"/>
        </w:rPr>
        <w:t>0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програми на симфонични концерти, името му присъства в афишите на 16 големи и известни международни фестивали. Негови партитури са издавани от</w:t>
      </w:r>
      <w:r w:rsidR="00606592"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4 музикални издателства в България, Русия, Швейцария и САЩ. Плочи и Компакт дискове с негови творби са издадени от 8 издателства в България, Русия, Италия, Германия, Испания и САЩ.Записи на негови произведения – студийни и документални, са осъществени в повече от 20 големи музикални компании, звукозаписни студиа и радиодомове. </w:t>
      </w:r>
    </w:p>
    <w:p w:rsidR="00D73D05" w:rsidRPr="001E3EF4" w:rsidRDefault="00D73D05" w:rsidP="001E3EF4">
      <w:pPr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1E3EF4">
        <w:rPr>
          <w:rFonts w:ascii="Arial" w:eastAsia="Times New Roman" w:hAnsi="Arial" w:cs="Arial"/>
          <w:sz w:val="24"/>
          <w:szCs w:val="24"/>
          <w:lang w:val="bg-BG"/>
        </w:rPr>
        <w:t>Награждаван е с най-високи национални и множество международни награди, ордени и медали. Носител е на званията „Заслужил артист” и „Лауреат на Димитровска награда”. Носител е на Голямата награда за Музика от Софийска Градска Община. През 1989 г. е удостоен с Европейската награда „Лоренцо Великолепният” на Международната Академия „Медичи” във Флоренция, като му е присъдено званието „Поч</w:t>
      </w:r>
      <w:r w:rsidR="004364C1" w:rsidRPr="001E3EF4">
        <w:rPr>
          <w:rFonts w:ascii="Arial" w:eastAsia="Times New Roman" w:hAnsi="Arial" w:cs="Arial"/>
          <w:sz w:val="24"/>
          <w:szCs w:val="24"/>
        </w:rPr>
        <w:t>e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>тен член ” и „Поч</w:t>
      </w:r>
      <w:r w:rsidR="004364C1" w:rsidRPr="001E3EF4">
        <w:rPr>
          <w:rFonts w:ascii="Arial" w:eastAsia="Times New Roman" w:hAnsi="Arial" w:cs="Arial"/>
          <w:sz w:val="24"/>
          <w:szCs w:val="24"/>
        </w:rPr>
        <w:t>e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>тен Сенатор” на Академията. Носител е на Голямата награда „Сирак Скитник” на Българското Национално Радио за цялостен принос, „Златен век” на Министерството на Културата. Концертът му за пиано е селекционирана творба от Международната асоциация на музика</w:t>
      </w:r>
      <w:r w:rsidR="004364C1" w:rsidRPr="001E3EF4">
        <w:rPr>
          <w:rFonts w:ascii="Arial" w:eastAsia="Times New Roman" w:hAnsi="Arial" w:cs="Arial"/>
          <w:sz w:val="24"/>
          <w:szCs w:val="24"/>
          <w:lang w:val="bg-BG"/>
        </w:rPr>
        <w:t>лните експерти в САЩ, номиниранa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 е за наградата „Кусевицки” и е класирана на първо място между препоръчаните творби на Международната трибуна на композитора в Париж. Негови симфонични, камерни пиеси и песни са печелили призове и награди на множество конкурси. Песента „Алтън Мара” присъства във втория албум на „Мистерията на българските гласове ”, отличен с „Грами” през 1990 г. </w:t>
      </w:r>
    </w:p>
    <w:p w:rsidR="00D73D05" w:rsidRPr="001E3EF4" w:rsidRDefault="00D73D05" w:rsidP="001E3EF4">
      <w:pPr>
        <w:jc w:val="both"/>
        <w:rPr>
          <w:rFonts w:ascii="Arial" w:eastAsia="Times New Roman" w:hAnsi="Arial" w:cs="Arial"/>
          <w:sz w:val="24"/>
          <w:szCs w:val="24"/>
          <w:lang w:val="bg-BG"/>
        </w:rPr>
      </w:pPr>
      <w:r w:rsidRPr="001E3EF4">
        <w:rPr>
          <w:rFonts w:ascii="Arial" w:eastAsia="Times New Roman" w:hAnsi="Arial" w:cs="Arial"/>
          <w:sz w:val="24"/>
          <w:szCs w:val="24"/>
          <w:lang w:val="bg-BG"/>
        </w:rPr>
        <w:t>Творби на Георги Минчев са изпълнявани в България, Франция, Германия, Италия, Швейцария, Русия, Полша, Чехия, Словакия, Куба, Колумбия, Австралия, Гърция, Канада, Белгия , Австрия, Сан Марино, САЩ, Холандия, Испания, Великобритания, Япония, Финландия.</w:t>
      </w:r>
    </w:p>
    <w:p w:rsidR="00D73D05" w:rsidRPr="001E3EF4" w:rsidRDefault="00D73D05" w:rsidP="001E3EF4">
      <w:pPr>
        <w:jc w:val="both"/>
        <w:rPr>
          <w:sz w:val="24"/>
          <w:szCs w:val="24"/>
          <w:lang w:val="bg-BG"/>
        </w:rPr>
      </w:pPr>
      <w:r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Владее отлично френски и руски, и </w:t>
      </w:r>
      <w:r w:rsidR="00606592" w:rsidRPr="001E3EF4">
        <w:rPr>
          <w:rFonts w:ascii="Arial" w:eastAsia="Times New Roman" w:hAnsi="Arial" w:cs="Arial"/>
          <w:sz w:val="24"/>
          <w:szCs w:val="24"/>
          <w:lang w:val="bg-BG"/>
        </w:rPr>
        <w:t xml:space="preserve">сравнително </w:t>
      </w:r>
      <w:r w:rsidRPr="001E3EF4">
        <w:rPr>
          <w:rFonts w:ascii="Arial" w:eastAsia="Times New Roman" w:hAnsi="Arial" w:cs="Arial"/>
          <w:sz w:val="24"/>
          <w:szCs w:val="24"/>
          <w:lang w:val="bg-BG"/>
        </w:rPr>
        <w:t>добре английски езици</w:t>
      </w:r>
      <w:r w:rsidR="00606592" w:rsidRPr="001E3EF4">
        <w:rPr>
          <w:rFonts w:ascii="Arial" w:eastAsia="Times New Roman" w:hAnsi="Arial" w:cs="Arial"/>
          <w:sz w:val="24"/>
          <w:szCs w:val="24"/>
          <w:lang w:val="bg-BG"/>
        </w:rPr>
        <w:t>.</w:t>
      </w:r>
    </w:p>
    <w:bookmarkEnd w:id="0"/>
    <w:p w:rsidR="00A1498E" w:rsidRPr="001E3EF4" w:rsidRDefault="00A1498E" w:rsidP="001E3EF4">
      <w:pPr>
        <w:jc w:val="both"/>
        <w:rPr>
          <w:sz w:val="24"/>
          <w:szCs w:val="24"/>
          <w:lang w:val="bg-BG"/>
        </w:rPr>
      </w:pPr>
    </w:p>
    <w:sectPr w:rsidR="00A1498E" w:rsidRPr="001E3EF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DF" w:rsidRDefault="000A5BDF" w:rsidP="001E3EF4">
      <w:pPr>
        <w:spacing w:after="0" w:line="240" w:lineRule="auto"/>
      </w:pPr>
      <w:r>
        <w:separator/>
      </w:r>
    </w:p>
  </w:endnote>
  <w:endnote w:type="continuationSeparator" w:id="0">
    <w:p w:rsidR="000A5BDF" w:rsidRDefault="000A5BDF" w:rsidP="001E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047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EF4" w:rsidRDefault="001E3E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EF4" w:rsidRDefault="001E3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DF" w:rsidRDefault="000A5BDF" w:rsidP="001E3EF4">
      <w:pPr>
        <w:spacing w:after="0" w:line="240" w:lineRule="auto"/>
      </w:pPr>
      <w:r>
        <w:separator/>
      </w:r>
    </w:p>
  </w:footnote>
  <w:footnote w:type="continuationSeparator" w:id="0">
    <w:p w:rsidR="000A5BDF" w:rsidRDefault="000A5BDF" w:rsidP="001E3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05"/>
    <w:rsid w:val="000A5BDF"/>
    <w:rsid w:val="001E3EF4"/>
    <w:rsid w:val="004364C1"/>
    <w:rsid w:val="004E1624"/>
    <w:rsid w:val="00606592"/>
    <w:rsid w:val="00791680"/>
    <w:rsid w:val="00A1498E"/>
    <w:rsid w:val="00B45549"/>
    <w:rsid w:val="00C26DEE"/>
    <w:rsid w:val="00C34FBB"/>
    <w:rsid w:val="00D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37104-97A2-413E-B73E-D0FA30A3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D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E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F4"/>
  </w:style>
  <w:style w:type="paragraph" w:styleId="Footer">
    <w:name w:val="footer"/>
    <w:basedOn w:val="Normal"/>
    <w:link w:val="FooterChar"/>
    <w:uiPriority w:val="99"/>
    <w:unhideWhenUsed/>
    <w:rsid w:val="001E3E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F4"/>
  </w:style>
  <w:style w:type="paragraph" w:styleId="BalloonText">
    <w:name w:val="Balloon Text"/>
    <w:basedOn w:val="Normal"/>
    <w:link w:val="BalloonTextChar"/>
    <w:uiPriority w:val="99"/>
    <w:semiHidden/>
    <w:unhideWhenUsed/>
    <w:rsid w:val="00C2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C633C-D153-4802-83D8-A5F238D4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mitrovich</cp:lastModifiedBy>
  <cp:revision>3</cp:revision>
  <cp:lastPrinted>2019-07-25T08:58:00Z</cp:lastPrinted>
  <dcterms:created xsi:type="dcterms:W3CDTF">2019-07-25T08:57:00Z</dcterms:created>
  <dcterms:modified xsi:type="dcterms:W3CDTF">2019-07-25T08:58:00Z</dcterms:modified>
</cp:coreProperties>
</file>