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2721" w14:textId="243EC381" w:rsidR="00C24D81" w:rsidRPr="000E66E2" w:rsidRDefault="006F605C" w:rsidP="006F605C">
      <w:pPr>
        <w:jc w:val="center"/>
        <w:rPr>
          <w:rFonts w:ascii="Tahoma" w:eastAsia="Times New Roman" w:hAnsi="Tahoma" w:cs="Tahoma"/>
          <w:color w:val="000000" w:themeColor="text1"/>
          <w:sz w:val="30"/>
          <w:szCs w:val="30"/>
          <w:lang w:val="bg-BG" w:eastAsia="en-GB"/>
        </w:rPr>
      </w:pPr>
      <w:r w:rsidRPr="000E66E2">
        <w:rPr>
          <w:rFonts w:ascii="Tahoma" w:eastAsia="Times New Roman" w:hAnsi="Tahoma" w:cs="Tahoma"/>
          <w:color w:val="000000" w:themeColor="text1"/>
          <w:sz w:val="30"/>
          <w:szCs w:val="30"/>
          <w:lang w:val="bg-BG" w:eastAsia="en-GB"/>
        </w:rPr>
        <w:t>Жените в науката</w:t>
      </w:r>
    </w:p>
    <w:p w14:paraId="04E4D3DA" w14:textId="77777777" w:rsidR="004378DF" w:rsidRPr="000E66E2" w:rsidRDefault="00C43AAF" w:rsidP="006F605C">
      <w:pPr>
        <w:jc w:val="center"/>
        <w:rPr>
          <w:rFonts w:ascii="Tahoma" w:eastAsia="Times New Roman" w:hAnsi="Tahoma" w:cs="Tahoma"/>
          <w:i/>
          <w:color w:val="000000" w:themeColor="text1"/>
          <w:sz w:val="30"/>
          <w:szCs w:val="30"/>
          <w:lang w:val="bg-BG" w:eastAsia="en-GB"/>
        </w:rPr>
      </w:pPr>
      <w:r w:rsidRPr="000E66E2">
        <w:rPr>
          <w:rFonts w:ascii="Tahoma" w:eastAsia="Times New Roman" w:hAnsi="Tahoma" w:cs="Tahoma"/>
          <w:i/>
          <w:color w:val="000000" w:themeColor="text1"/>
          <w:sz w:val="30"/>
          <w:szCs w:val="30"/>
          <w:lang w:val="bg-BG" w:eastAsia="en-GB"/>
        </w:rPr>
        <w:t xml:space="preserve">Слово </w:t>
      </w:r>
      <w:r w:rsidR="004378DF" w:rsidRPr="000E66E2">
        <w:rPr>
          <w:rFonts w:ascii="Tahoma" w:eastAsia="Times New Roman" w:hAnsi="Tahoma" w:cs="Tahoma"/>
          <w:i/>
          <w:color w:val="000000" w:themeColor="text1"/>
          <w:sz w:val="30"/>
          <w:szCs w:val="30"/>
          <w:lang w:val="bg-BG" w:eastAsia="en-GB"/>
        </w:rPr>
        <w:t xml:space="preserve">пред тържественото събрание на БАН </w:t>
      </w:r>
      <w:r w:rsidRPr="000E66E2">
        <w:rPr>
          <w:rFonts w:ascii="Tahoma" w:eastAsia="Times New Roman" w:hAnsi="Tahoma" w:cs="Tahoma"/>
          <w:i/>
          <w:color w:val="000000" w:themeColor="text1"/>
          <w:sz w:val="30"/>
          <w:szCs w:val="30"/>
          <w:lang w:val="bg-BG" w:eastAsia="en-GB"/>
        </w:rPr>
        <w:t xml:space="preserve">по </w:t>
      </w:r>
      <w:r w:rsidR="004378DF" w:rsidRPr="000E66E2">
        <w:rPr>
          <w:rFonts w:ascii="Tahoma" w:eastAsia="Times New Roman" w:hAnsi="Tahoma" w:cs="Tahoma"/>
          <w:i/>
          <w:color w:val="000000" w:themeColor="text1"/>
          <w:sz w:val="30"/>
          <w:szCs w:val="30"/>
          <w:lang w:val="bg-BG" w:eastAsia="en-GB"/>
        </w:rPr>
        <w:t xml:space="preserve">случай </w:t>
      </w:r>
    </w:p>
    <w:p w14:paraId="16DEFF1D" w14:textId="1BA0C1F7" w:rsidR="00C43AAF" w:rsidRPr="000E66E2" w:rsidRDefault="00C43AAF" w:rsidP="006F605C">
      <w:pPr>
        <w:jc w:val="center"/>
        <w:rPr>
          <w:rFonts w:ascii="Tahoma" w:eastAsia="Times New Roman" w:hAnsi="Tahoma" w:cs="Tahoma"/>
          <w:i/>
          <w:color w:val="000000" w:themeColor="text1"/>
          <w:sz w:val="30"/>
          <w:szCs w:val="30"/>
          <w:lang w:val="bg-BG" w:eastAsia="en-GB"/>
        </w:rPr>
      </w:pPr>
      <w:r w:rsidRPr="000E66E2">
        <w:rPr>
          <w:rFonts w:ascii="Tahoma" w:eastAsia="Times New Roman" w:hAnsi="Tahoma" w:cs="Tahoma"/>
          <w:i/>
          <w:color w:val="000000" w:themeColor="text1"/>
          <w:sz w:val="30"/>
          <w:szCs w:val="30"/>
          <w:lang w:val="bg-BG" w:eastAsia="en-GB"/>
        </w:rPr>
        <w:t xml:space="preserve">Деня на </w:t>
      </w:r>
      <w:r w:rsidR="004378DF" w:rsidRPr="000E66E2">
        <w:rPr>
          <w:rFonts w:ascii="Tahoma" w:eastAsia="Times New Roman" w:hAnsi="Tahoma" w:cs="Tahoma"/>
          <w:i/>
          <w:color w:val="000000" w:themeColor="text1"/>
          <w:sz w:val="30"/>
          <w:szCs w:val="30"/>
          <w:lang w:val="bg-BG" w:eastAsia="en-GB"/>
        </w:rPr>
        <w:t>народните будители</w:t>
      </w:r>
      <w:r w:rsidRPr="000E66E2">
        <w:rPr>
          <w:rFonts w:ascii="Tahoma" w:eastAsia="Times New Roman" w:hAnsi="Tahoma" w:cs="Tahoma"/>
          <w:i/>
          <w:color w:val="000000" w:themeColor="text1"/>
          <w:sz w:val="30"/>
          <w:szCs w:val="30"/>
          <w:lang w:val="bg-BG" w:eastAsia="en-GB"/>
        </w:rPr>
        <w:t>, 1 ноември 2021 г.</w:t>
      </w:r>
    </w:p>
    <w:p w14:paraId="517CFBC4" w14:textId="77777777" w:rsidR="000E66E2" w:rsidRDefault="000E66E2" w:rsidP="00ED6D3B">
      <w:pPr>
        <w:jc w:val="center"/>
        <w:rPr>
          <w:rFonts w:ascii="Tahoma" w:eastAsia="Arial Unicode MS" w:hAnsi="Tahoma" w:cs="Tahoma"/>
          <w:color w:val="000000" w:themeColor="text1"/>
          <w:lang w:val="bg-BG"/>
        </w:rPr>
      </w:pPr>
    </w:p>
    <w:p w14:paraId="1A61BC44" w14:textId="253A87EB" w:rsidR="00C43AAF" w:rsidRPr="000E66E2" w:rsidRDefault="00ED6D3B" w:rsidP="00ED6D3B">
      <w:pPr>
        <w:jc w:val="center"/>
        <w:rPr>
          <w:rFonts w:ascii="Tahoma" w:eastAsia="Arial Unicode MS" w:hAnsi="Tahoma" w:cs="Tahoma"/>
          <w:color w:val="000000" w:themeColor="text1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lang w:val="bg-BG"/>
        </w:rPr>
        <w:t>Румяна Ил. Прешленова</w:t>
      </w:r>
    </w:p>
    <w:p w14:paraId="0B133252" w14:textId="6F471554" w:rsidR="000E66E2" w:rsidRPr="000E66E2" w:rsidRDefault="000E66E2" w:rsidP="00ED6D3B">
      <w:pPr>
        <w:jc w:val="center"/>
        <w:rPr>
          <w:rFonts w:ascii="Tahoma" w:eastAsia="Arial Unicode MS" w:hAnsi="Tahoma" w:cs="Tahoma"/>
          <w:color w:val="000000" w:themeColor="text1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lang w:val="bg-BG"/>
        </w:rPr>
        <w:t>Институт за балканистика с Център по тракология</w:t>
      </w:r>
    </w:p>
    <w:p w14:paraId="150A316D" w14:textId="59AA707D" w:rsidR="000E66E2" w:rsidRPr="000E66E2" w:rsidRDefault="000E66E2" w:rsidP="00ED6D3B">
      <w:pPr>
        <w:jc w:val="center"/>
        <w:rPr>
          <w:rFonts w:ascii="Tahoma" w:eastAsia="Arial Unicode MS" w:hAnsi="Tahoma" w:cs="Tahoma"/>
          <w:color w:val="000000" w:themeColor="text1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lang w:val="bg-BG"/>
        </w:rPr>
        <w:t>Българска академия на науките</w:t>
      </w:r>
    </w:p>
    <w:p w14:paraId="59244420" w14:textId="77777777" w:rsidR="00ED6D3B" w:rsidRPr="000E66E2" w:rsidRDefault="00ED6D3B" w:rsidP="00ED6D3B">
      <w:pPr>
        <w:jc w:val="center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</w:p>
    <w:p w14:paraId="5BFF18F6" w14:textId="6B47DBEC" w:rsidR="00B20DD0" w:rsidRPr="000E66E2" w:rsidRDefault="00C43AAF" w:rsidP="00D86D01">
      <w:pPr>
        <w:spacing w:line="360" w:lineRule="auto"/>
        <w:ind w:firstLine="720"/>
        <w:jc w:val="both"/>
        <w:rPr>
          <w:rFonts w:ascii="Tahoma" w:eastAsia="Arial Unicode MS" w:hAnsi="Tahoma" w:cs="Tahoma"/>
          <w:i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Ж</w:t>
      </w:r>
      <w:r w:rsidR="00755D2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ените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</w:t>
      </w:r>
      <w:r w:rsidR="00755D2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B20D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наука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та са двойно благословени</w:t>
      </w:r>
      <w:r w:rsidR="00B20D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Те</w:t>
      </w:r>
      <w:r w:rsidR="00D86D0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могат да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даряват живот и </w:t>
      </w:r>
      <w:r w:rsidR="00D86D0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да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даряват знания. От тяхната щедрост зависи бъдещето на човечеството</w:t>
      </w:r>
      <w:r w:rsidR="00D86D0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</w:p>
    <w:p w14:paraId="62D9415C" w14:textId="437829F0" w:rsidR="00B160CA" w:rsidRPr="000E66E2" w:rsidRDefault="008C50E1" w:rsidP="00D86D01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След края на матриархата векове наред жените са държани далеч от властта, освен малцината, родени със синя кръв, които по стечение на обстоятелствата и по-скоро като изключение се възкачват на трона</w:t>
      </w:r>
      <w:r w:rsidR="000D3AD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 Затова пък имената им се помнят: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Мария Терезия, 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императрица на </w:t>
      </w:r>
      <w:r w:rsidR="00ED6D3B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Хабсбургската монархия през 1740-1780 г.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Екатерина Велика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императрица на Русия</w:t>
      </w:r>
      <w:r w:rsidR="00ED6D3B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през 1762-1796 г.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Мари</w:t>
      </w:r>
      <w:r w:rsidR="00ED6D3B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я Стюарт, кралица на Шотландия 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през </w:t>
      </w:r>
      <w:r w:rsidR="00B160C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1542-1567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г.</w:t>
      </w:r>
      <w:r w:rsidR="00ED6D3B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="00B160C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Катерина де Медичи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кралиц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а на Франция от 1547 до 1559 г.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Налагани са им и много други ограничения 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 мотива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че социалните им функции се изчерпват с 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грижата за дома и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призванието им да да</w:t>
      </w:r>
      <w:r w:rsidR="005353F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ря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ват живот. Единици от тях, облагодетелствани от семейната сре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да, </w:t>
      </w:r>
      <w:r w:rsidR="005353F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през Средновековието 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се изявяват в литературата,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изобразит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елното изкуство и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музиката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Макар да са лишени от </w:t>
      </w:r>
      <w:r w:rsidR="009B5FF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официална 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власт, 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немалко жени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имат морален авторитет и 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са</w:t>
      </w:r>
      <w:r w:rsidR="00B160C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3401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съветници на </w:t>
      </w:r>
      <w:r w:rsidR="00B160C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своите 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овластен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и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B160C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съпрузи</w:t>
      </w:r>
      <w:r w:rsidR="00C43A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братя</w:t>
      </w:r>
      <w:r w:rsidR="005353F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 синове</w:t>
      </w:r>
      <w:r w:rsidR="00B160C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</w:p>
    <w:p w14:paraId="62BAFBA0" w14:textId="0B441BDA" w:rsidR="00215624" w:rsidRPr="000E66E2" w:rsidRDefault="00F52AB3" w:rsidP="000E66E2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Модерната епоха е белязана от </w:t>
      </w:r>
      <w:r w:rsidR="00DE157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няколко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важни пр</w:t>
      </w:r>
      <w:r w:rsidR="00B02883" w:rsidRPr="000E66E2">
        <w:rPr>
          <w:rFonts w:ascii="Tahoma" w:eastAsia="Arial Unicode MS" w:hAnsi="Tahoma" w:cs="Tahoma"/>
          <w:color w:val="000000" w:themeColor="text1"/>
          <w:sz w:val="24"/>
          <w:szCs w:val="24"/>
        </w:rPr>
        <w:t>e</w:t>
      </w:r>
      <w:r w:rsidR="00B0288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лома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без които съвременното общество би било немислимо</w:t>
      </w:r>
      <w:r w:rsidR="00DE157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 Сред тях особено значение имат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78635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масовизирането на образованието,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превръщането на науката от </w:t>
      </w:r>
      <w:r w:rsidR="0021562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строго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елитарно в </w:t>
      </w:r>
      <w:r w:rsidR="005353F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по-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широко достъпно поле за изява и борбата на жените за равноправие. И </w:t>
      </w:r>
      <w:r w:rsidR="0078635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три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</w:t>
      </w:r>
      <w:r w:rsidR="0078635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имат за цел утвърждаване на общочовешките ценности</w:t>
      </w:r>
      <w:r w:rsidR="005353F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сред които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основополагащ</w:t>
      </w:r>
      <w:r w:rsidR="005353F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о значение има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личността независимо от нейния </w:t>
      </w:r>
      <w:r w:rsidR="0021562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социален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произход и пол. </w:t>
      </w:r>
    </w:p>
    <w:p w14:paraId="43AD540B" w14:textId="024F9C2A" w:rsidR="00873933" w:rsidRPr="000E66E2" w:rsidRDefault="00036A30" w:rsidP="00A17C32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 кра</w:t>
      </w:r>
      <w:r w:rsidR="004378D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я на </w:t>
      </w:r>
      <w:r w:rsidR="004378DF" w:rsidRPr="000E66E2">
        <w:rPr>
          <w:rFonts w:ascii="Tahoma" w:eastAsia="Arial Unicode MS" w:hAnsi="Tahoma" w:cs="Tahoma"/>
          <w:color w:val="000000" w:themeColor="text1"/>
          <w:sz w:val="24"/>
          <w:szCs w:val="24"/>
        </w:rPr>
        <w:t>XIX</w:t>
      </w:r>
      <w:r w:rsidR="003E744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 началото на </w:t>
      </w:r>
      <w:r w:rsidR="004378DF" w:rsidRPr="000E66E2">
        <w:rPr>
          <w:rFonts w:ascii="Tahoma" w:eastAsia="Arial Unicode MS" w:hAnsi="Tahoma" w:cs="Tahoma"/>
          <w:color w:val="000000" w:themeColor="text1"/>
          <w:sz w:val="24"/>
          <w:szCs w:val="24"/>
        </w:rPr>
        <w:t>XX</w:t>
      </w:r>
      <w:r w:rsidR="003E744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в. в редица страни се създават организации </w:t>
      </w:r>
      <w:r w:rsidR="009279C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на жените, чиито цели включват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защита на техните права, но също така опазването на мира. През 1919 г. те се обединяват в </w:t>
      </w:r>
      <w:r w:rsidRPr="000E66E2">
        <w:rPr>
          <w:rFonts w:ascii="Tahoma" w:eastAsia="Arial Unicode MS" w:hAnsi="Tahoma" w:cs="Tahoma"/>
          <w:i/>
          <w:color w:val="000000" w:themeColor="text1"/>
          <w:sz w:val="24"/>
          <w:szCs w:val="24"/>
          <w:lang w:val="bg-BG"/>
        </w:rPr>
        <w:t>Международна женска лига за мир и свобода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със седалище в Женева</w:t>
      </w:r>
      <w:r w:rsidR="008739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където се намира и ОН.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B755A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Още същата година в нея се включва </w:t>
      </w:r>
      <w:r w:rsidR="00B755A9" w:rsidRPr="000E66E2">
        <w:rPr>
          <w:rFonts w:ascii="Tahoma" w:eastAsia="Arial Unicode MS" w:hAnsi="Tahoma" w:cs="Tahoma"/>
          <w:i/>
          <w:color w:val="000000" w:themeColor="text1"/>
          <w:sz w:val="24"/>
          <w:szCs w:val="24"/>
          <w:lang w:val="bg-BG"/>
        </w:rPr>
        <w:lastRenderedPageBreak/>
        <w:t>Българска секция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начело с Екатерина Каравелова</w:t>
      </w:r>
      <w:r w:rsidR="00B755A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</w:t>
      </w:r>
      <w:r w:rsidR="008739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 Международния си конгрес през 1922 г. Лигата заявява </w:t>
      </w:r>
      <w:r w:rsidR="005E278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решимостта</w:t>
      </w:r>
      <w:r w:rsidR="008739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 жените да участват </w:t>
      </w:r>
      <w:r w:rsidR="005E278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активно </w:t>
      </w:r>
      <w:r w:rsidR="008739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 политиката</w:t>
      </w:r>
      <w:r w:rsidR="000D3AD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 името на жи</w:t>
      </w:r>
      <w:r w:rsidR="005E278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вота</w:t>
      </w:r>
      <w:r w:rsidR="008739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5E278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Забележително</w:t>
      </w:r>
      <w:r w:rsidR="0021562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е, че п</w:t>
      </w:r>
      <w:r w:rsidR="00A9776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о същото време, през 1919 г., в Женева е създадена и</w:t>
      </w:r>
      <w:r w:rsid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0E66E2" w:rsidRPr="000E66E2">
        <w:rPr>
          <w:rFonts w:ascii="Tahoma" w:eastAsia="Arial Unicode MS" w:hAnsi="Tahoma" w:cs="Tahoma"/>
          <w:i/>
          <w:color w:val="000000" w:themeColor="text1"/>
          <w:sz w:val="24"/>
          <w:szCs w:val="24"/>
          <w:lang w:val="bg-BG"/>
        </w:rPr>
        <w:t>Международната федерация на жените с университетско образование</w:t>
      </w:r>
      <w:r w:rsidR="00276F7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в която членува </w:t>
      </w:r>
      <w:r w:rsidR="00276F7E" w:rsidRPr="000E66E2">
        <w:rPr>
          <w:rFonts w:ascii="Tahoma" w:eastAsia="Arial Unicode MS" w:hAnsi="Tahoma" w:cs="Tahoma"/>
          <w:i/>
          <w:color w:val="000000" w:themeColor="text1"/>
          <w:sz w:val="24"/>
          <w:szCs w:val="24"/>
          <w:lang w:val="bg-BG"/>
        </w:rPr>
        <w:t>Дружеството на българките с висше образование</w:t>
      </w:r>
      <w:r w:rsidR="00A9776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="00276F7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</w:p>
    <w:p w14:paraId="141ACFD1" w14:textId="1CC9AB1F" w:rsidR="00215624" w:rsidRPr="000E66E2" w:rsidRDefault="00215624" w:rsidP="00B03A3C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Организираното движение на жените се вдъхновява от </w:t>
      </w:r>
      <w:r w:rsidR="003E33B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личности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като Мария Склодовска-Кюри (1867-1934), първата жена носителка на Нобелова награда за физика (1903) и за химия (1911)</w:t>
      </w:r>
      <w:r w:rsidR="003E33B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Тя е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единственият учен досега, получил Нобелова награда в две различни научни области,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първата жена професор в Университета в Париж и първата жена ръководител на Радиев институт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 Париж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(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от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1909 г.).</w:t>
      </w:r>
    </w:p>
    <w:p w14:paraId="63A35240" w14:textId="382EC092" w:rsidR="00215624" w:rsidRPr="000E66E2" w:rsidRDefault="00215624" w:rsidP="00D86D01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Сходен профил има </w:t>
      </w:r>
      <w:r w:rsidR="006B75E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и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Елисавета Карамихайлова (1897-1968) - първият професор по радиоактивност и ядрена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спектроскопия,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първата жена професор по физика в България</w:t>
      </w:r>
      <w:r w:rsidR="005E278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(1939), основателка на Катедрата по атомна физика в С</w:t>
      </w:r>
      <w:r w:rsidR="003E33B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офийския университет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 на Лабораторията по радиоактивност във Физическия институт на БАН. Преди </w:t>
      </w:r>
      <w:r w:rsid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да започне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кариерата </w:t>
      </w:r>
      <w:r w:rsid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си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 България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тя е работила в Института за радиеви изследвания във Виена и в Кавендишката лаборатория в Кеймбридж.</w:t>
      </w:r>
    </w:p>
    <w:p w14:paraId="5A9CBB74" w14:textId="3613A7F7" w:rsidR="003E4867" w:rsidRPr="000E66E2" w:rsidRDefault="005E278E" w:rsidP="00B03A3C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Те и </w:t>
      </w:r>
      <w:r w:rsidR="00D86D0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много</w:t>
      </w:r>
      <w:r w:rsidR="00635FC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F47E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други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по-малко известни </w:t>
      </w:r>
      <w:r w:rsidR="00635FC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жени проправят нашия път към науката, </w:t>
      </w:r>
      <w:r w:rsidR="00D86D0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отвоюват </w:t>
      </w:r>
      <w:r w:rsidR="00635FC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правото ни да бъдем учени</w:t>
      </w:r>
      <w:r w:rsidR="00F47E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което минава през достъп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а</w:t>
      </w:r>
      <w:r w:rsidR="00F47E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до висше образование</w:t>
      </w:r>
      <w:r w:rsidR="00635FC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="00F47E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C44F8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През Възраждането българското общество приема участието на жени в хайдушкото движение и съпричастността им към борбите за национално освобождение, 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но </w:t>
      </w:r>
      <w:r w:rsidR="00C44F8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до средата на XIX в. образованието 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остава привилегия за мъжете. Д</w:t>
      </w:r>
      <w:r w:rsidR="00C44F8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есетина девически училища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създадени от 40-те до 60-те години на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XIX 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</w:t>
      </w:r>
      <w:r w:rsidR="00C44F8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Габрово, Пловдив, Стара Загора, Казанлък, Свищов, Русе, </w:t>
      </w:r>
      <w:r w:rsidR="00C9564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Солун, 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са основани и поддържани най-често от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жени. Някои от тях са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организирани в женски дружества въпреки</w:t>
      </w:r>
      <w:r w:rsidR="00C44F8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</w:t>
      </w:r>
      <w:r w:rsidR="00C44F8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атриархалните нагласи 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на огромна част от обществото. Възпитаничките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на девическите училища</w:t>
      </w:r>
      <w:r w:rsidR="006C0A7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обикновено стават учителки или интелектуалки.</w:t>
      </w:r>
      <w:r w:rsidR="00C44F8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F47E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През 1897 г.</w:t>
      </w:r>
      <w:r w:rsidR="00C44F8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почти двадесет години след Освобождението,</w:t>
      </w:r>
      <w:r w:rsidR="00F47E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Анна Карима, писателка, публицистка и преводачка, 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основава женско </w:t>
      </w:r>
      <w:r w:rsidR="00934F9D" w:rsidRPr="000E66E2">
        <w:rPr>
          <w:rFonts w:ascii="Tahoma" w:eastAsia="Arial Unicode MS" w:hAnsi="Tahoma" w:cs="Tahoma"/>
          <w:i/>
          <w:color w:val="000000" w:themeColor="text1"/>
          <w:sz w:val="24"/>
          <w:szCs w:val="24"/>
          <w:lang w:val="bg-BG"/>
        </w:rPr>
        <w:t>О</w:t>
      </w:r>
      <w:r w:rsidR="00F47E33" w:rsidRPr="000E66E2">
        <w:rPr>
          <w:rFonts w:ascii="Tahoma" w:eastAsia="Arial Unicode MS" w:hAnsi="Tahoma" w:cs="Tahoma"/>
          <w:i/>
          <w:color w:val="000000" w:themeColor="text1"/>
          <w:sz w:val="24"/>
          <w:szCs w:val="24"/>
          <w:lang w:val="bg-BG"/>
        </w:rPr>
        <w:t>бразователно дружество „Съзнание“</w:t>
      </w:r>
      <w:r w:rsidR="00F47E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което изпраща  петиция до Народното събрание за допускане на жените до университетско образование.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Това се случва през 1901 г., а през 1918 г. С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офийският университет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вече има първата 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жена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преподава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телка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 първата жена учен в България - Теодора Райкова (1893-1963). Завършила химия през 1916 г., тя сп</w:t>
      </w:r>
      <w:r w:rsidR="006B75E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ециализира в Германия и </w:t>
      </w:r>
      <w:r w:rsid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lastRenderedPageBreak/>
        <w:t>Австрио-Унгария</w:t>
      </w:r>
      <w:r w:rsidR="006B75E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 става асистентка на баща си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проф. Пенчо Райков</w:t>
      </w:r>
      <w:r w:rsid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 СУ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Теодора Райкова преподава и 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публикува </w:t>
      </w:r>
      <w:r w:rsidR="00C9564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резултати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те от изследванията си </w:t>
      </w:r>
      <w:r w:rsidR="003E486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във водещи немскоезични научни издания въпреки опитите за прекратяване на договора ѝ,  защото е жена. </w:t>
      </w:r>
    </w:p>
    <w:p w14:paraId="5FE13C88" w14:textId="6A992FD2" w:rsidR="007F26EE" w:rsidRPr="000E66E2" w:rsidRDefault="00B160CA" w:rsidP="00B03A3C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Макар да остават доминиращ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и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 политическо и икономическо отношение, мъжете </w:t>
      </w:r>
      <w:r w:rsidR="0025046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като цяло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осъзнават и приемат </w:t>
      </w:r>
      <w:r w:rsidR="0021562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излизането на много жени от ограничената 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им </w:t>
      </w:r>
      <w:r w:rsidR="0021562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роля на съпруги и майки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Този преход отнема десетилетия. </w:t>
      </w:r>
      <w:r w:rsidR="007F26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 съвременна България равните права на жените </w:t>
      </w:r>
      <w:r w:rsidR="00F430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и мъжете </w:t>
      </w:r>
      <w:r w:rsidR="007F26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са гарантирани от Конституцията и Кодекса на труда.</w:t>
      </w:r>
    </w:p>
    <w:p w14:paraId="6B7E10DF" w14:textId="626FAD3A" w:rsidR="00E9497B" w:rsidRPr="000E66E2" w:rsidRDefault="00036A30" w:rsidP="00B03A3C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 наше време б</w:t>
      </w:r>
      <w:r w:rsidR="005353F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езспорен израз на променено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то</w:t>
      </w:r>
      <w:r w:rsidR="005353F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отношение към жените 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</w:t>
      </w:r>
      <w:r w:rsidR="006A6D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Хартата за основните права на гражданите на </w:t>
      </w:r>
      <w:r w:rsidR="0025046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Европейския съюз</w:t>
      </w:r>
      <w:r w:rsidR="006A6D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приета на Срещата на върха в Ница през 2000 г</w:t>
      </w:r>
      <w:r w:rsidR="00A6474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Според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нея (</w:t>
      </w:r>
      <w:r w:rsidR="00A6474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ч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л. 23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)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р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авенството между жените и мъжете трябва да бъде гарантирано във всички области, включително </w:t>
      </w:r>
      <w:r w:rsidR="00EA33E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заетостта, труда и възнаграждението. 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Изрично се изтъква, че принципът на равенство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не пречи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да се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запаз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ят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 действие или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да се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приема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мерки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за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специфични предимства в полза на по-слабо представения пол. Хартата за правата от Ница е </w:t>
      </w:r>
      <w:r w:rsidR="006A6D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доразвита с Резолюцията на Европейския парламент от 27 септември 2007 г. относно равенството между жените и мъжете в</w:t>
      </w:r>
      <w:r w:rsidR="0025046A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ЕС</w:t>
      </w:r>
      <w:r w:rsidR="006A6D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="006A6DEE" w:rsidRPr="000E66E2">
        <w:rPr>
          <w:rFonts w:ascii="Tahoma" w:eastAsia="Arial Unicode MS" w:hAnsi="Tahoma" w:cs="Tahoma"/>
          <w:color w:val="000000" w:themeColor="text1"/>
          <w:sz w:val="24"/>
          <w:szCs w:val="24"/>
        </w:rPr>
        <w:t> </w:t>
      </w:r>
      <w:r w:rsidR="001D1C6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</w:p>
    <w:p w14:paraId="5E5A23E9" w14:textId="25EEB0A4" w:rsidR="00A64746" w:rsidRPr="000E66E2" w:rsidRDefault="00A64746" w:rsidP="005373D0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И двата документа създават рамкови условия за равни права на мъжете и жените в ЕС. </w:t>
      </w:r>
      <w:r w:rsidR="005373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Разработени са и серия документи в тази насока, а интегрираната политика за равенство между половете в научните изследвания в ЕС се осъществява при реализиране на 5, 6 и 7 рамкови програми и на програмата на ЕС за научни изследвания „Хоризонт 2020“. </w:t>
      </w:r>
      <w:r w:rsidR="0025046A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Европейската комисия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при</w:t>
      </w:r>
      <w:r w:rsidR="0025046A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ема Насоки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 Европа 2020 за заетост и 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</w:rPr>
        <w:t>E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вропейския пакт за равенство между половете 2011-2020. Въпреки това </w:t>
      </w:r>
      <w:r w:rsidR="005D38D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според 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докладите на ЕК различията </w:t>
      </w:r>
      <w:r w:rsidR="005D38D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между половете 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 сферата на научните изследвания и иновации</w:t>
      </w:r>
      <w:r w:rsidR="00476F8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те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все още съществуват в </w:t>
      </w:r>
      <w:r w:rsidR="0025046A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някои от 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страните от ЕС, особено във високите </w:t>
      </w:r>
      <w:r w:rsidR="005D38D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нива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 научната и административната кариера</w:t>
      </w:r>
      <w:r w:rsidR="005D38D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 академичните сре</w:t>
      </w:r>
      <w:r w:rsidR="0025046A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д</w:t>
      </w:r>
      <w:r w:rsidR="00476F8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и</w:t>
      </w:r>
      <w:r w:rsidR="005373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а в отделни случаи те граничат с неравенство</w:t>
      </w:r>
      <w:r w:rsidR="00A6014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="005D38D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EF1F8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Като</w:t>
      </w:r>
      <w:r w:rsidR="005D38D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критерий за балансирана представителност се приема </w:t>
      </w:r>
      <w:r w:rsidR="00EA33E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относителен дял от </w:t>
      </w:r>
      <w:r w:rsidR="005D38D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40-60% на единия пол.  </w:t>
      </w:r>
    </w:p>
    <w:p w14:paraId="6E3D31E9" w14:textId="5D2E531D" w:rsidR="007928A5" w:rsidRPr="000E66E2" w:rsidRDefault="00BE5618" w:rsidP="007928A5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 същото време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 </w:t>
      </w:r>
      <w:r w:rsidR="0067712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Хартата на европейските учени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</w:t>
      </w:r>
      <w:r w:rsidR="00D0778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разработена през 2005 г.,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изрично </w:t>
      </w:r>
      <w:r w:rsidR="00B03A3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се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изтъква, че работодателите трябва да се стремят да осигурят работни условия на учените, които позволяват</w:t>
      </w:r>
      <w:r w:rsidR="0067712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както мъже, така и жени учени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да </w:t>
      </w:r>
      <w:r w:rsidR="0067712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съчетават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7928A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lastRenderedPageBreak/>
        <w:t>работата и семейството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</w:t>
      </w:r>
      <w:r w:rsidR="00D0778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грижата за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децата и кариерата. </w:t>
      </w:r>
      <w:r w:rsidR="00B20D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Преминаването от третиране на жените като неравнопоставено малцинство към артикулиране на правото на мъжете да съчетават работата и кариерата</w:t>
      </w:r>
      <w:r w:rsidR="007928A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си с грижи</w:t>
      </w:r>
      <w:r w:rsidR="00B20D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за семейството и децата е </w:t>
      </w:r>
      <w:r w:rsidR="007928A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важ</w:t>
      </w:r>
      <w:r w:rsidR="00D01FA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ен момент, който дава своето отражение върху обществените нагласи и поведението на учените през следващите години. </w:t>
      </w:r>
    </w:p>
    <w:p w14:paraId="698D5553" w14:textId="33726BFD" w:rsidR="00FD7885" w:rsidRPr="000E66E2" w:rsidRDefault="00FD7885" w:rsidP="007928A5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Едва </w:t>
      </w:r>
      <w:r w:rsidR="007F4AA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ли е случайно, че през 2016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г. 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Луиз Ричардсън, историк, експерт по тероризъм и р</w:t>
      </w:r>
      <w:r w:rsidR="007928A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ектор на У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ниверситета </w:t>
      </w:r>
      <w:r w:rsidR="007928A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„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Сейнт Ендрюс</w:t>
      </w:r>
      <w:r w:rsidR="007928A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“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 Шотландия, </w:t>
      </w:r>
      <w:r w:rsidR="0067712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е 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първата жена</w:t>
      </w:r>
      <w:r w:rsidR="007F4AA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която става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25046A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заместник-</w:t>
      </w:r>
      <w:r w:rsidR="007F4AA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ректор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</w:t>
      </w:r>
      <w:r w:rsidR="007F4AA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престижния британски Оксфордски университет, 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з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а първи път в </w:t>
      </w:r>
      <w:r w:rsidR="007F4AA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неговата почти осемвековна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история.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67712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Заслужава да припомним, че в</w:t>
      </w:r>
      <w:r w:rsidR="007F4AA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това висше учебно заведение ж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ените получават образователни степени </w:t>
      </w:r>
      <w:r w:rsidR="00677125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от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1920 г</w:t>
      </w:r>
      <w:r w:rsidR="007F4AA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="00EF307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а за първи път жена става професор едва през 1948 г.</w:t>
      </w:r>
    </w:p>
    <w:p w14:paraId="30B14831" w14:textId="36CA8477" w:rsidR="005B75FD" w:rsidRPr="000E66E2" w:rsidRDefault="00677125" w:rsidP="003834E0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Повод за самочувствие ни дават и</w:t>
      </w:r>
      <w:r w:rsidR="005B75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българките, които от години се изявяват като успешни учени в чужбина</w:t>
      </w:r>
      <w:r w:rsidR="00841B7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 Броят им е многократно по-голям от посочения в</w:t>
      </w:r>
      <w:r w:rsidR="00E80B9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E80B97" w:rsidRPr="000E66E2">
        <w:rPr>
          <w:rFonts w:ascii="Tahoma" w:eastAsia="Arial Unicode MS" w:hAnsi="Tahoma" w:cs="Tahoma"/>
          <w:i/>
          <w:color w:val="000000" w:themeColor="text1"/>
          <w:sz w:val="24"/>
          <w:szCs w:val="24"/>
          <w:lang w:val="bg-BG"/>
        </w:rPr>
        <w:t>Именника на българските учени в чужбина</w:t>
      </w:r>
      <w:r w:rsidR="00E80B9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изготвен от Съюза на учените в </w:t>
      </w:r>
      <w:r w:rsidR="00E80B97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България</w:t>
      </w:r>
      <w:r w:rsidR="00E80B97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</w:t>
      </w:r>
      <w:r w:rsidR="005B75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Ще спомена само два ярки примера</w:t>
      </w:r>
      <w:r w:rsidR="00841B7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 водещи в своята област</w:t>
      </w:r>
      <w:r w:rsidR="005B75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които са широко известни: проф. </w:t>
      </w:r>
      <w:r w:rsidR="005B75FD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Райна Фичорова, завършила медицина и специализирала в България, директор на лаборатория по репродуктивна биология в </w:t>
      </w:r>
      <w:r w:rsidR="003834E0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Харвардския университет</w:t>
      </w:r>
      <w:r w:rsidR="005B75FD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от 1995 г.;  проф. Мария </w:t>
      </w:r>
      <w:r w:rsidR="003834E0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Н. </w:t>
      </w:r>
      <w:r w:rsidR="005B75FD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Тодорова, завършила история и преподавала балканистика в България, от 1991 г. професор </w:t>
      </w:r>
      <w:r w:rsidR="003834E0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последователно </w:t>
      </w:r>
      <w:r w:rsidR="005B75FD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в уни</w:t>
      </w:r>
      <w:r w:rsidR="00841B7C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верситетите на </w:t>
      </w:r>
      <w:r w:rsidR="005C14F8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Хюстън, Тексас, </w:t>
      </w:r>
      <w:r w:rsidR="00841B7C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Флорида и Илиной</w:t>
      </w:r>
      <w:r w:rsidR="005C14F8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, </w:t>
      </w:r>
      <w:r w:rsidR="005B75FD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Ърбана-Шампейн</w:t>
      </w:r>
      <w:r w:rsidR="00E80B97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в САЩ</w:t>
      </w:r>
      <w:r w:rsidR="00841B7C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, почетен доктор на СУ „Св. Климент Охридски“</w:t>
      </w:r>
      <w:r w:rsidR="005C14F8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и на Университета „Пантеон“ в Атина</w:t>
      </w:r>
      <w:r w:rsidR="00E80B97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.</w:t>
      </w:r>
      <w:r w:rsidR="005B75FD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</w:t>
      </w:r>
    </w:p>
    <w:p w14:paraId="7A83E33B" w14:textId="57739349" w:rsidR="005B75FD" w:rsidRPr="000E66E2" w:rsidRDefault="00F5329A" w:rsidP="003834E0">
      <w:pPr>
        <w:pStyle w:val="ListParagraph"/>
        <w:spacing w:line="360" w:lineRule="auto"/>
        <w:ind w:left="0" w:firstLine="720"/>
        <w:jc w:val="both"/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Не по-малко </w:t>
      </w:r>
      <w:r w:rsidR="005C14F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уважение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заслужават</w:t>
      </w:r>
      <w:r w:rsidR="005C14F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българките, които останаха </w:t>
      </w:r>
      <w:r w:rsidR="000C712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 науката тук</w:t>
      </w:r>
      <w:r w:rsidR="003834E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="005C14F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въпреки бедността и несправедливостите в трудните години на прехода.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Благодаряние на тях </w:t>
      </w:r>
      <w:r w:rsidR="00841B7C" w:rsidRPr="0025046A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Националната стратегия </w:t>
      </w:r>
      <w:r w:rsidR="00137A86" w:rsidRPr="0025046A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за развитие на научните изследвания в Република България 2017-2030 г.</w:t>
      </w:r>
      <w:r w:rsidR="00137A8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под надслов „По-добра наука за по-добра България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“, </w:t>
      </w:r>
      <w:r w:rsidR="00137A8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приета от Н</w:t>
      </w:r>
      <w:r w:rsidR="0025046A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ародното събрание</w:t>
      </w:r>
      <w:r w:rsidR="00137A8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 7 юни 2017 г.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="00137A8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отчита дял на жените в държавния сектор </w:t>
      </w:r>
      <w:r w:rsidR="00756B4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на науката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и висшето образование</w:t>
      </w:r>
      <w:r w:rsidR="00137A8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от 53%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 Те са</w:t>
      </w:r>
      <w:r w:rsidR="00137A8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разпределени относително равномерно по възрастови групи до 65 г.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По този показател България</w:t>
      </w:r>
      <w:r w:rsidR="00756B4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е сред водещите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страни</w:t>
      </w:r>
      <w:r w:rsidR="00756B4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</w:p>
    <w:p w14:paraId="51E3020F" w14:textId="067CD77E" w:rsidR="001F6095" w:rsidRPr="000E66E2" w:rsidRDefault="001F6095" w:rsidP="003834E0">
      <w:pPr>
        <w:pStyle w:val="ListParagraph"/>
        <w:spacing w:line="360" w:lineRule="auto"/>
        <w:ind w:left="0"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По данни на Института за статистика на Юнеско през юни 2019 г. в световен мащаб жените имат дял в науката от средно 30%,  в Централна и Източна Европа те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lastRenderedPageBreak/>
        <w:t>са 39%</w:t>
      </w:r>
      <w:r w:rsidR="007F4AA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 Северна Америка и Западна Европа</w:t>
      </w:r>
      <w:r w:rsidR="007F4AA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са 33%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</w:t>
      </w:r>
      <w:r w:rsidR="00F5329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</w:t>
      </w:r>
      <w:r w:rsidR="003834E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49</w:t>
      </w:r>
      <w:r w:rsidR="00F5329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%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България се нарежда на пето място в Европа след </w:t>
      </w:r>
      <w:r w:rsidR="00756B4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Република Северна Македония</w:t>
      </w:r>
      <w:r w:rsidR="00A17C3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(52%)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Латвия, Литва и Сърбия. В страните с най-висок жизнен стандарт делът на жените в науката е под 34%. Такава е картината в Белгия, Дания, Швеция, Швейцария, Финландия, Австрия, Люксембург, Германия, Франция</w:t>
      </w:r>
      <w:r w:rsidR="00817EF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Нидерландия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</w:p>
    <w:p w14:paraId="41BAF85D" w14:textId="2806F87D" w:rsidR="00927FAF" w:rsidRPr="000E66E2" w:rsidRDefault="00B35B9B" w:rsidP="00B35B9B">
      <w:pPr>
        <w:pStyle w:val="ListParagraph"/>
        <w:spacing w:line="360" w:lineRule="auto"/>
        <w:ind w:left="0" w:firstLine="720"/>
        <w:jc w:val="both"/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Впечатляващ</w:t>
      </w:r>
      <w:r w:rsidR="0025046A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ото участие </w:t>
      </w: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на жените в науката има и друго изражение. 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Сред 25 български учени от БАН, включени в класацията на Станфордския университет за най-добрите </w:t>
      </w:r>
      <w:r w:rsidR="0025046A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2% учени</w:t>
      </w: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в света през 2020 г., са шест жени или 24%: чл.-кор. проф. Вася Банкова от Института по органична химия с Център по фитохимия </w:t>
      </w:r>
      <w:r w:rsidR="00A17C32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в направление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Медицинска и биомолекулярна химия; проф. Донка Андреева,</w:t>
      </w:r>
      <w:r w:rsidR="00A17C32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Институт по катализ в направление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Физикохимия; </w:t>
      </w:r>
      <w:r w:rsidR="003834E0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акад. 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Дочи Ексерова, Институт по физикохимия,</w:t>
      </w:r>
      <w:r w:rsidR="00A17C32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в направление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Физическа химия; </w:t>
      </w: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проф. 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Виолета Великова, </w:t>
      </w:r>
      <w:r w:rsidR="00927F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Институт по физиология на растенията и генетика,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</w:t>
      </w:r>
      <w:r w:rsidR="00A17C32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в направление 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Биология на растенията и ботаника; </w:t>
      </w: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проф. 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Дора Карагьозова, Институт по механика, </w:t>
      </w:r>
      <w:r w:rsidR="00A17C32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в направление 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Машиностроене и транспорт; </w:t>
      </w: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проф. 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Весела Цакова, </w:t>
      </w:r>
      <w:r w:rsidR="00927FA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Институт по физикохимия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, </w:t>
      </w:r>
      <w:r w:rsidR="00A17C32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в направление 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Енергия. За сравнение: </w:t>
      </w:r>
      <w:r w:rsidR="008A19BC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с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ред 12 учени </w:t>
      </w:r>
      <w:r w:rsidR="008A19BC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от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СУ</w:t>
      </w:r>
      <w:r w:rsidR="008A19BC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„Св. Климент Охридски“ в същата класация</w:t>
      </w:r>
      <w:r w:rsidR="00927FAF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фигурира само една жена - доц. д-р Мича Каравастева от Факултета по химия и фармация.</w:t>
      </w:r>
    </w:p>
    <w:p w14:paraId="42753B06" w14:textId="6310A258" w:rsidR="00B81AB1" w:rsidRPr="000E66E2" w:rsidRDefault="00927FAF" w:rsidP="001675D0">
      <w:pPr>
        <w:pStyle w:val="ListParagraph"/>
        <w:spacing w:line="360" w:lineRule="auto"/>
        <w:ind w:left="0" w:firstLine="720"/>
        <w:jc w:val="both"/>
        <w:rPr>
          <w:rFonts w:ascii="Tahoma" w:eastAsia="Arial Unicode MS" w:hAnsi="Tahoma" w:cs="Tahoma"/>
          <w:i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Повод за удовлетвореност </w:t>
      </w:r>
      <w:r w:rsidR="008A19BC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от състоянието на БАН </w:t>
      </w: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е и съотношението между жени и мъже, изчислено въз основа на годишните отчети за дейността на постоянните на</w:t>
      </w:r>
      <w:r w:rsidR="00B81AB1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учни звена. Ако през 2000 г. делът на жени</w:t>
      </w: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те сред професорите е само 16%, през 2020 г. той е 52%. При доцентите той нараства съответно от 39% на 53%, а за учените общо </w:t>
      </w:r>
      <w:r w:rsidR="00BD0F52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- </w:t>
      </w:r>
      <w:r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>от 44% на 55%.</w:t>
      </w:r>
      <w:r w:rsidR="00B81AB1" w:rsidRPr="000E66E2">
        <w:rPr>
          <w:rFonts w:ascii="Tahoma" w:eastAsia="Arial Unicode MS" w:hAnsi="Tahoma" w:cs="Tahoma"/>
          <w:iCs/>
          <w:color w:val="000000" w:themeColor="text1"/>
          <w:sz w:val="24"/>
          <w:szCs w:val="24"/>
          <w:lang w:val="bg-BG"/>
        </w:rPr>
        <w:t xml:space="preserve">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Тези показатели са далеч по-добри от съответните за цялата страна. По данни на Н</w:t>
      </w:r>
      <w:r w:rsidR="008A19B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ационалния статистически институт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по </w:t>
      </w:r>
      <w:r w:rsidRPr="000E66E2">
        <w:rPr>
          <w:rFonts w:ascii="Tahoma" w:eastAsia="Arial Unicode MS" w:hAnsi="Tahoma" w:cs="Tahoma"/>
          <w:bCs/>
          <w:color w:val="000000" w:themeColor="text1"/>
          <w:sz w:val="24"/>
          <w:szCs w:val="24"/>
          <w:lang w:val="bg-BG" w:eastAsia="en-GB"/>
        </w:rPr>
        <w:t>еквивалент на пълна заетост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през 2019 г. жените съставляват 46% от всички заети в </w:t>
      </w:r>
      <w:r w:rsidR="008A19B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научно-изследователска и развойна дейност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 България. </w:t>
      </w:r>
      <w:r w:rsidR="0097284E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Нещо повече,</w:t>
      </w:r>
      <w:r w:rsidR="008A19B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ч</w:t>
      </w:r>
      <w:r w:rsidR="00B81AB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увствителното нарастване на дела на жените в БАН </w:t>
      </w:r>
      <w:r w:rsidR="00A17C3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става при</w:t>
      </w:r>
      <w:r w:rsidR="00B81AB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несъществено увеличаване на средната им възраст</w:t>
      </w:r>
      <w:r w:rsidR="008A19B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:</w:t>
      </w:r>
      <w:r w:rsidR="00B81AB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през 2000 г. тя е 47,6 години, </w:t>
      </w:r>
      <w:r w:rsidR="0097284E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а </w:t>
      </w:r>
      <w:r w:rsidR="00B81AB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през 2020 г. е 48,8 години.</w:t>
      </w:r>
    </w:p>
    <w:p w14:paraId="68DCED93" w14:textId="20D231B7" w:rsidR="003669F6" w:rsidRPr="000E66E2" w:rsidRDefault="00B81AB1" w:rsidP="00B04EFD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БАН е </w:t>
      </w:r>
      <w:r w:rsidR="00B04E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пример за равнопоставеност</w:t>
      </w:r>
      <w:r w:rsidR="00CF105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,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дори </w:t>
      </w:r>
      <w:r w:rsidR="00CF105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когато става дума </w:t>
      </w:r>
      <w:r w:rsidR="00B04E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за </w:t>
      </w:r>
      <w:r w:rsidR="00CF105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жените на ръководни позиции. </w:t>
      </w:r>
      <w:r w:rsidR="00B04E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рез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септ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ември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2021 г. жените имат лек превес над мъжете сред директорите на постоянните научни звена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във всички направления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Делът на жените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е 53%</w:t>
      </w:r>
      <w:r w:rsidR="00B04E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при 47%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на мъжете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 Доколкото и два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та дяла са в рамките на приетия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от ЕС 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lastRenderedPageBreak/>
        <w:t xml:space="preserve">критерий за равнопоставеност (40-60%), участието на </w:t>
      </w:r>
      <w:r w:rsidR="00B04E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жените и мъжете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в </w:t>
      </w:r>
      <w:r w:rsidR="00B04E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управлението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постоянните научни звена</w:t>
      </w:r>
      <w:r w:rsidR="003669F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е балансирано.</w:t>
      </w:r>
    </w:p>
    <w:p w14:paraId="7D8CAD57" w14:textId="4062FE75" w:rsidR="00F47E33" w:rsidRPr="000E66E2" w:rsidRDefault="003669F6" w:rsidP="00E95079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Още по-силно жените са представени в</w:t>
      </w:r>
      <w:r w:rsidR="00E1177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Управителния съвет</w:t>
      </w:r>
      <w:r w:rsidR="00352F01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А</w:t>
      </w:r>
      <w:r w:rsidR="00E1177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кадемията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 където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понастоящем те са 63% в основния състав</w:t>
      </w:r>
      <w:r w:rsidR="00E1177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(</w:t>
      </w:r>
      <w:r w:rsidR="00E1177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17 от 27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души) </w:t>
      </w:r>
      <w:r w:rsidR="00E1177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и 62% </w:t>
      </w:r>
      <w:r w:rsidR="0097284E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 </w:t>
      </w:r>
      <w:r w:rsidR="00E1177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разширения състав.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1675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От години </w:t>
      </w:r>
      <w:r w:rsidR="0097284E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поста на </w:t>
      </w:r>
      <w:r w:rsidR="001675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председател на Общото събрание на БАН </w:t>
      </w:r>
      <w:r w:rsidR="0097284E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</w:t>
      </w:r>
      <w:r w:rsidR="001675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 </w:t>
      </w:r>
      <w:r w:rsidR="0097284E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заема от </w:t>
      </w:r>
      <w:r w:rsidR="001675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жена. З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а сметка на това досега </w:t>
      </w:r>
      <w:r w:rsidR="00B04E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жена не е била председател на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БАН.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По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B04E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още един 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показател </w:t>
      </w:r>
      <w:r w:rsidR="00595AB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жените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 БАН 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са под критерия за равнопоставеност от 40-60%</w:t>
      </w:r>
      <w:r w:rsidR="00B04EF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- </w:t>
      </w:r>
      <w:r w:rsidR="001675D0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на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най-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вис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окото</w:t>
      </w:r>
      <w:r w:rsidR="00BD0F5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ниво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 академичната йерархия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. Сред академиците </w:t>
      </w:r>
      <w:r w:rsidR="006A2568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сега </w:t>
      </w:r>
      <w:r w:rsidR="00595AB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те са само </w:t>
      </w:r>
      <w:r w:rsidR="00B546F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чети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ри</w:t>
      </w:r>
      <w:r w:rsidR="00B546F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от 62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или 6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% -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акад. 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Мария Ангелова Б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алтаджиева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инж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енер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-технолог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акад. Петя Иванова В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асилева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,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офталмолог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 </w:t>
      </w:r>
      <w:r w:rsidR="00B546F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новоизбраните 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акад. Драга Иванова Тончева, специалист в областта на медицинската генетика и геномика</w:t>
      </w:r>
      <w:r w:rsidR="00B546F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 акад. Светланка Емилова Куюмджиева, изкуствовед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Сред член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-кор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еспондентите жените са </w:t>
      </w:r>
      <w:r w:rsidR="00C321C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22 от 98</w:t>
      </w:r>
      <w:r w:rsidR="005B575A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или 22%</w:t>
      </w:r>
      <w:r w:rsidR="007551E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="00F47E3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</w:p>
    <w:p w14:paraId="7631ED60" w14:textId="5EA3DBC7" w:rsidR="00563099" w:rsidRPr="000E66E2" w:rsidRDefault="006D66DC" w:rsidP="00E95079">
      <w:pPr>
        <w:spacing w:line="360" w:lineRule="auto"/>
        <w:ind w:firstLine="720"/>
        <w:jc w:val="both"/>
        <w:rPr>
          <w:rFonts w:ascii="Tahoma" w:eastAsia="Arial Unicode MS" w:hAnsi="Tahoma" w:cs="Tahoma"/>
          <w:b/>
          <w:color w:val="000000" w:themeColor="text1"/>
          <w:sz w:val="24"/>
          <w:szCs w:val="24"/>
          <w:lang w:val="bg-BG"/>
        </w:rPr>
      </w:pP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На 5 март 2020 г. ЕК публикува новата европейска стратегия за равенст</w:t>
      </w:r>
      <w:r w:rsidR="00A17C3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во между половете 2020-2025 г. Тя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постави </w:t>
      </w:r>
      <w:r w:rsidR="00D8193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отново </w:t>
      </w:r>
      <w:r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темата за равнопоставеността на жените и мъжете в политическия дневен ред на ЕС</w:t>
      </w:r>
      <w:r w:rsidR="0034776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за изграждане на </w:t>
      </w:r>
      <w:r w:rsidR="00132A9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силна, социална и справедлива Европа. 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С други думи, </w:t>
      </w:r>
      <w:r w:rsidR="002E669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за европейците 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тя</w:t>
      </w:r>
      <w:r w:rsidR="00A17C3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е все още неосъществена цел на модерността, </w:t>
      </w:r>
      <w:r w:rsidR="00E9507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за която </w:t>
      </w:r>
      <w:r w:rsidR="003F35D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си струва да се борим</w:t>
      </w:r>
      <w:r w:rsidR="0097284E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.</w:t>
      </w:r>
      <w:r w:rsidR="00A17C3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D8193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Б</w:t>
      </w:r>
      <w:r w:rsidR="0034776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ез преувеличение </w:t>
      </w:r>
      <w:r w:rsidR="00A17C32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обаче </w:t>
      </w:r>
      <w:r w:rsidR="0034776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можем да твърдим, че с</w:t>
      </w:r>
      <w:r w:rsidR="00FD348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ъвременно</w:t>
      </w:r>
      <w:r w:rsidR="001E328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то състояние на БАН е </w:t>
      </w:r>
      <w:r w:rsidR="00D8193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пример</w:t>
      </w:r>
      <w:r w:rsidR="00FD348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за </w:t>
      </w:r>
      <w:r w:rsidR="003F35D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постигната </w:t>
      </w:r>
      <w:r w:rsidR="002C649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значителна </w:t>
      </w:r>
      <w:r w:rsidR="00FD348E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равнопоставеност на жените </w:t>
      </w:r>
      <w:r w:rsidR="00347763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и мъжете</w:t>
      </w:r>
      <w:r w:rsidR="001E328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</w:t>
      </w:r>
      <w:r w:rsidR="00934F9D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въз основа на </w:t>
      </w:r>
      <w:r w:rsidR="002E669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техните индивидуални</w:t>
      </w:r>
      <w:r w:rsidR="00D8193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качества и постижения, </w:t>
      </w:r>
      <w:r w:rsidR="00D741F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на </w:t>
      </w:r>
      <w:r w:rsidR="00D81939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цялостното им личностно поведение. </w:t>
      </w:r>
      <w:r w:rsidR="00D741FF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Т</w:t>
      </w:r>
      <w:r w:rsidR="0097284E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ова не на последно място </w:t>
      </w:r>
      <w:bookmarkStart w:id="0" w:name="_GoBack"/>
      <w:bookmarkEnd w:id="0"/>
      <w:r w:rsidR="0097284E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е </w:t>
      </w:r>
      <w:r w:rsidR="0022323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ярко доказателство, че </w:t>
      </w:r>
      <w:r w:rsidR="001E3286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в </w:t>
      </w:r>
      <w:r w:rsidR="0022323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>БАН се извършва научна дейност в съответствие с общочовешките ценности</w:t>
      </w:r>
      <w:r w:rsidR="0017217C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и</w:t>
      </w:r>
      <w:r w:rsidR="00223234" w:rsidRPr="000E66E2">
        <w:rPr>
          <w:rFonts w:ascii="Tahoma" w:eastAsia="Arial Unicode MS" w:hAnsi="Tahoma" w:cs="Tahoma"/>
          <w:color w:val="000000" w:themeColor="text1"/>
          <w:sz w:val="24"/>
          <w:szCs w:val="24"/>
          <w:lang w:val="bg-BG"/>
        </w:rPr>
        <w:t xml:space="preserve"> националните интереси</w:t>
      </w:r>
      <w:r w:rsidR="002C6496" w:rsidRPr="000E66E2">
        <w:rPr>
          <w:rFonts w:ascii="Tahoma" w:eastAsia="Arial Unicode MS" w:hAnsi="Tahoma" w:cs="Tahoma"/>
          <w:b/>
          <w:color w:val="000000" w:themeColor="text1"/>
          <w:sz w:val="24"/>
          <w:szCs w:val="24"/>
          <w:lang w:val="bg-BG"/>
        </w:rPr>
        <w:t>.</w:t>
      </w:r>
    </w:p>
    <w:sectPr w:rsidR="00563099" w:rsidRPr="000E66E2" w:rsidSect="003F35DF">
      <w:headerReference w:type="default" r:id="rId8"/>
      <w:pgSz w:w="11906" w:h="16838"/>
      <w:pgMar w:top="993" w:right="144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3B6F" w14:textId="77777777" w:rsidR="00AF14FC" w:rsidRDefault="00AF14FC" w:rsidP="00ED6D3B">
      <w:pPr>
        <w:spacing w:after="0" w:line="240" w:lineRule="auto"/>
      </w:pPr>
      <w:r>
        <w:separator/>
      </w:r>
    </w:p>
  </w:endnote>
  <w:endnote w:type="continuationSeparator" w:id="0">
    <w:p w14:paraId="1FCF04AB" w14:textId="77777777" w:rsidR="00AF14FC" w:rsidRDefault="00AF14FC" w:rsidP="00ED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BF45E" w14:textId="77777777" w:rsidR="00AF14FC" w:rsidRDefault="00AF14FC" w:rsidP="00ED6D3B">
      <w:pPr>
        <w:spacing w:after="0" w:line="240" w:lineRule="auto"/>
      </w:pPr>
      <w:r>
        <w:separator/>
      </w:r>
    </w:p>
  </w:footnote>
  <w:footnote w:type="continuationSeparator" w:id="0">
    <w:p w14:paraId="0428EBB2" w14:textId="77777777" w:rsidR="00AF14FC" w:rsidRDefault="00AF14FC" w:rsidP="00ED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9793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60243F" w14:textId="50F0DF9D" w:rsidR="00ED6D3B" w:rsidRDefault="00ED6D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8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03CC04" w14:textId="77777777" w:rsidR="00ED6D3B" w:rsidRDefault="00ED6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FD1"/>
    <w:multiLevelType w:val="multilevel"/>
    <w:tmpl w:val="0DE0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5C4355"/>
    <w:multiLevelType w:val="hybridMultilevel"/>
    <w:tmpl w:val="11402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771E"/>
    <w:multiLevelType w:val="multilevel"/>
    <w:tmpl w:val="F4B0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F78DE"/>
    <w:multiLevelType w:val="multilevel"/>
    <w:tmpl w:val="44B8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D65E5"/>
    <w:multiLevelType w:val="hybridMultilevel"/>
    <w:tmpl w:val="E2A8F07E"/>
    <w:lvl w:ilvl="0" w:tplc="02C6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FE52A1"/>
    <w:multiLevelType w:val="multilevel"/>
    <w:tmpl w:val="787E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C639F"/>
    <w:multiLevelType w:val="multilevel"/>
    <w:tmpl w:val="4C7E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25816"/>
    <w:multiLevelType w:val="multilevel"/>
    <w:tmpl w:val="F77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C"/>
    <w:rsid w:val="00036A30"/>
    <w:rsid w:val="0005508F"/>
    <w:rsid w:val="000632C6"/>
    <w:rsid w:val="00072F38"/>
    <w:rsid w:val="000A2DC3"/>
    <w:rsid w:val="000C7128"/>
    <w:rsid w:val="000D3ADA"/>
    <w:rsid w:val="000E2649"/>
    <w:rsid w:val="000E66E2"/>
    <w:rsid w:val="000F1180"/>
    <w:rsid w:val="000F757D"/>
    <w:rsid w:val="00132A99"/>
    <w:rsid w:val="00137A86"/>
    <w:rsid w:val="00166F44"/>
    <w:rsid w:val="001675D0"/>
    <w:rsid w:val="0017217C"/>
    <w:rsid w:val="00182501"/>
    <w:rsid w:val="001D1C64"/>
    <w:rsid w:val="001D685C"/>
    <w:rsid w:val="001E3286"/>
    <w:rsid w:val="001F4174"/>
    <w:rsid w:val="001F6095"/>
    <w:rsid w:val="00215624"/>
    <w:rsid w:val="00223234"/>
    <w:rsid w:val="00236669"/>
    <w:rsid w:val="0025046A"/>
    <w:rsid w:val="00276F7E"/>
    <w:rsid w:val="0028012D"/>
    <w:rsid w:val="00292DF0"/>
    <w:rsid w:val="002B3DBA"/>
    <w:rsid w:val="002B4844"/>
    <w:rsid w:val="002C6496"/>
    <w:rsid w:val="002D2989"/>
    <w:rsid w:val="002D3DD1"/>
    <w:rsid w:val="002E6699"/>
    <w:rsid w:val="002F6367"/>
    <w:rsid w:val="00317923"/>
    <w:rsid w:val="0034013C"/>
    <w:rsid w:val="003427EA"/>
    <w:rsid w:val="00347763"/>
    <w:rsid w:val="00347BB9"/>
    <w:rsid w:val="00352F01"/>
    <w:rsid w:val="003669F6"/>
    <w:rsid w:val="00380222"/>
    <w:rsid w:val="003834E0"/>
    <w:rsid w:val="00395441"/>
    <w:rsid w:val="003E33B0"/>
    <w:rsid w:val="003E4867"/>
    <w:rsid w:val="003E7444"/>
    <w:rsid w:val="003F35DF"/>
    <w:rsid w:val="00431A67"/>
    <w:rsid w:val="00436F0F"/>
    <w:rsid w:val="004378DF"/>
    <w:rsid w:val="00462173"/>
    <w:rsid w:val="0046677D"/>
    <w:rsid w:val="00473CB0"/>
    <w:rsid w:val="00476F85"/>
    <w:rsid w:val="004B43B2"/>
    <w:rsid w:val="004E6BC0"/>
    <w:rsid w:val="00516E08"/>
    <w:rsid w:val="005179AD"/>
    <w:rsid w:val="00517C65"/>
    <w:rsid w:val="00523094"/>
    <w:rsid w:val="00523302"/>
    <w:rsid w:val="005353F1"/>
    <w:rsid w:val="005373D0"/>
    <w:rsid w:val="00563099"/>
    <w:rsid w:val="00574741"/>
    <w:rsid w:val="00583A91"/>
    <w:rsid w:val="00595ABD"/>
    <w:rsid w:val="005B575A"/>
    <w:rsid w:val="005B75FD"/>
    <w:rsid w:val="005C14F8"/>
    <w:rsid w:val="005D38D4"/>
    <w:rsid w:val="005E278E"/>
    <w:rsid w:val="00635FC2"/>
    <w:rsid w:val="00677125"/>
    <w:rsid w:val="006A2568"/>
    <w:rsid w:val="006A6DEE"/>
    <w:rsid w:val="006B75E1"/>
    <w:rsid w:val="006C0A77"/>
    <w:rsid w:val="006C0AD5"/>
    <w:rsid w:val="006D66DC"/>
    <w:rsid w:val="006F605C"/>
    <w:rsid w:val="006F7DD4"/>
    <w:rsid w:val="00711717"/>
    <w:rsid w:val="00725C59"/>
    <w:rsid w:val="007551EE"/>
    <w:rsid w:val="00755D2D"/>
    <w:rsid w:val="00756B46"/>
    <w:rsid w:val="00757275"/>
    <w:rsid w:val="0078059F"/>
    <w:rsid w:val="00785071"/>
    <w:rsid w:val="00785689"/>
    <w:rsid w:val="00786353"/>
    <w:rsid w:val="007928A5"/>
    <w:rsid w:val="00793C79"/>
    <w:rsid w:val="007A24A9"/>
    <w:rsid w:val="007C5AAD"/>
    <w:rsid w:val="007D25BC"/>
    <w:rsid w:val="007F26EE"/>
    <w:rsid w:val="007F4AAD"/>
    <w:rsid w:val="00801298"/>
    <w:rsid w:val="00812D9A"/>
    <w:rsid w:val="00817EF0"/>
    <w:rsid w:val="008243E3"/>
    <w:rsid w:val="00835F70"/>
    <w:rsid w:val="00841B7C"/>
    <w:rsid w:val="00873933"/>
    <w:rsid w:val="008A19BC"/>
    <w:rsid w:val="008A5402"/>
    <w:rsid w:val="008A6CA2"/>
    <w:rsid w:val="008B79F1"/>
    <w:rsid w:val="008C2A9F"/>
    <w:rsid w:val="008C50E1"/>
    <w:rsid w:val="009243AC"/>
    <w:rsid w:val="00924638"/>
    <w:rsid w:val="009279CC"/>
    <w:rsid w:val="00927FAF"/>
    <w:rsid w:val="00934F9D"/>
    <w:rsid w:val="0096545A"/>
    <w:rsid w:val="009710BD"/>
    <w:rsid w:val="0097284E"/>
    <w:rsid w:val="00994F55"/>
    <w:rsid w:val="009B5FFC"/>
    <w:rsid w:val="00A014E7"/>
    <w:rsid w:val="00A17C32"/>
    <w:rsid w:val="00A4297B"/>
    <w:rsid w:val="00A5070C"/>
    <w:rsid w:val="00A6014F"/>
    <w:rsid w:val="00A64746"/>
    <w:rsid w:val="00A97762"/>
    <w:rsid w:val="00AD6595"/>
    <w:rsid w:val="00AF14FC"/>
    <w:rsid w:val="00AF3F8E"/>
    <w:rsid w:val="00B02883"/>
    <w:rsid w:val="00B03A3C"/>
    <w:rsid w:val="00B04EFD"/>
    <w:rsid w:val="00B10725"/>
    <w:rsid w:val="00B10C4A"/>
    <w:rsid w:val="00B160CA"/>
    <w:rsid w:val="00B20DD0"/>
    <w:rsid w:val="00B309E7"/>
    <w:rsid w:val="00B35B9B"/>
    <w:rsid w:val="00B546FE"/>
    <w:rsid w:val="00B57CA9"/>
    <w:rsid w:val="00B755A9"/>
    <w:rsid w:val="00B81AB1"/>
    <w:rsid w:val="00B83618"/>
    <w:rsid w:val="00BA4D9F"/>
    <w:rsid w:val="00BA77B5"/>
    <w:rsid w:val="00BC0979"/>
    <w:rsid w:val="00BC6434"/>
    <w:rsid w:val="00BD0F52"/>
    <w:rsid w:val="00BD1C12"/>
    <w:rsid w:val="00BE067C"/>
    <w:rsid w:val="00BE5618"/>
    <w:rsid w:val="00C03628"/>
    <w:rsid w:val="00C24D81"/>
    <w:rsid w:val="00C321CA"/>
    <w:rsid w:val="00C322E5"/>
    <w:rsid w:val="00C43AAF"/>
    <w:rsid w:val="00C44F8C"/>
    <w:rsid w:val="00C55C3A"/>
    <w:rsid w:val="00C7103E"/>
    <w:rsid w:val="00C95643"/>
    <w:rsid w:val="00CE061B"/>
    <w:rsid w:val="00CF105C"/>
    <w:rsid w:val="00D01FA0"/>
    <w:rsid w:val="00D07780"/>
    <w:rsid w:val="00D25CB9"/>
    <w:rsid w:val="00D34236"/>
    <w:rsid w:val="00D741FF"/>
    <w:rsid w:val="00D81939"/>
    <w:rsid w:val="00D8530C"/>
    <w:rsid w:val="00D86D01"/>
    <w:rsid w:val="00DD7363"/>
    <w:rsid w:val="00DE1576"/>
    <w:rsid w:val="00E1177F"/>
    <w:rsid w:val="00E27DC1"/>
    <w:rsid w:val="00E7041A"/>
    <w:rsid w:val="00E7496C"/>
    <w:rsid w:val="00E80B97"/>
    <w:rsid w:val="00E9497B"/>
    <w:rsid w:val="00E95079"/>
    <w:rsid w:val="00EA33ED"/>
    <w:rsid w:val="00EC5647"/>
    <w:rsid w:val="00ED3E99"/>
    <w:rsid w:val="00ED6D3B"/>
    <w:rsid w:val="00EF1F8D"/>
    <w:rsid w:val="00EF3078"/>
    <w:rsid w:val="00F012D1"/>
    <w:rsid w:val="00F06BCC"/>
    <w:rsid w:val="00F3386C"/>
    <w:rsid w:val="00F430D0"/>
    <w:rsid w:val="00F43C29"/>
    <w:rsid w:val="00F47E33"/>
    <w:rsid w:val="00F52AB3"/>
    <w:rsid w:val="00F5329A"/>
    <w:rsid w:val="00FC088C"/>
    <w:rsid w:val="00FD348E"/>
    <w:rsid w:val="00FD7885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D17F"/>
  <w15:chartTrackingRefBased/>
  <w15:docId w15:val="{04B9DEF1-17FB-4004-9414-D5401CF3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2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05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2AB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9B5FFC"/>
    <w:rPr>
      <w:b/>
      <w:bCs/>
    </w:rPr>
  </w:style>
  <w:style w:type="character" w:styleId="Hyperlink">
    <w:name w:val="Hyperlink"/>
    <w:basedOn w:val="DefaultParagraphFont"/>
    <w:uiPriority w:val="99"/>
    <w:unhideWhenUsed/>
    <w:rsid w:val="004B43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17C6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C65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itle1">
    <w:name w:val="Title1"/>
    <w:basedOn w:val="Normal"/>
    <w:rsid w:val="0043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storyitem">
    <w:name w:val="historyitem"/>
    <w:basedOn w:val="DefaultParagraphFont"/>
    <w:rsid w:val="00431A67"/>
  </w:style>
  <w:style w:type="character" w:customStyle="1" w:styleId="historyreference">
    <w:name w:val="historyreference"/>
    <w:basedOn w:val="DefaultParagraphFont"/>
    <w:rsid w:val="00431A67"/>
  </w:style>
  <w:style w:type="character" w:customStyle="1" w:styleId="legaldocreference">
    <w:name w:val="legaldocreference"/>
    <w:basedOn w:val="DefaultParagraphFont"/>
    <w:rsid w:val="00F3386C"/>
  </w:style>
  <w:style w:type="table" w:styleId="TableGrid">
    <w:name w:val="Table Grid"/>
    <w:basedOn w:val="TableNormal"/>
    <w:uiPriority w:val="39"/>
    <w:rsid w:val="0071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3B"/>
  </w:style>
  <w:style w:type="paragraph" w:styleId="Footer">
    <w:name w:val="footer"/>
    <w:basedOn w:val="Normal"/>
    <w:link w:val="FooterChar"/>
    <w:uiPriority w:val="99"/>
    <w:unhideWhenUsed/>
    <w:rsid w:val="00ED6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3B"/>
  </w:style>
  <w:style w:type="paragraph" w:styleId="BalloonText">
    <w:name w:val="Balloon Text"/>
    <w:basedOn w:val="Normal"/>
    <w:link w:val="BalloonTextChar"/>
    <w:uiPriority w:val="99"/>
    <w:semiHidden/>
    <w:unhideWhenUsed/>
    <w:rsid w:val="005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0E13-AF2B-4DD1-86EF-891D982E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6</Pages>
  <Words>2052</Words>
  <Characters>10958</Characters>
  <Application>Microsoft Office Word</Application>
  <DocSecurity>0</DocSecurity>
  <Lines>199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roumi</dc:creator>
  <cp:keywords/>
  <dc:description/>
  <cp:lastModifiedBy>roumi</cp:lastModifiedBy>
  <cp:revision>43</cp:revision>
  <cp:lastPrinted>2021-11-01T07:48:00Z</cp:lastPrinted>
  <dcterms:created xsi:type="dcterms:W3CDTF">2021-10-27T06:26:00Z</dcterms:created>
  <dcterms:modified xsi:type="dcterms:W3CDTF">2021-11-01T13:14:00Z</dcterms:modified>
</cp:coreProperties>
</file>