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1" w:rsidRDefault="00262231" w:rsidP="0026223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67FA1">
        <w:rPr>
          <w:rFonts w:ascii="Times New Roman" w:hAnsi="Times New Roman" w:cs="Times New Roman"/>
          <w:sz w:val="28"/>
          <w:szCs w:val="28"/>
          <w:lang w:val="bg-BG"/>
        </w:rPr>
        <w:t>Информационен ден по проект „Национален център по мехатроника и чисти технологии“</w:t>
      </w:r>
    </w:p>
    <w:p w:rsidR="00E67FA1" w:rsidRPr="00E67FA1" w:rsidRDefault="00E67FA1" w:rsidP="0026223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262231" w:rsidRPr="00E67FA1" w:rsidRDefault="00262231" w:rsidP="00E67F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7FA1">
        <w:rPr>
          <w:rFonts w:ascii="Times New Roman" w:hAnsi="Times New Roman" w:cs="Times New Roman"/>
          <w:sz w:val="28"/>
          <w:szCs w:val="28"/>
          <w:lang w:val="bg-BG"/>
        </w:rPr>
        <w:t>Първи представиха своите резултати учените от кампус „Лозенец“ с ръководител чл.-кор. Тони Спасов, в който се разработват и изследват нови материали с приложение в ключови технологии като съхранение и преобразуване на енергия, катализа и екология. Чл.-кор. Спасов разказа накратко за извършените дейности по изграждането на  научноизследователската инфраструктура на кампуса и в ръководената от него лаборатория за създаване на наноматериали за съхранение на водород. Презентациите на доцентите Живко Кисьовски и Станимир Колев бяха съответно за реализирането на технология за получаване на графен и въглеродни наноструктури за свръхкондензатори и батерии и за повишаване на ефективността на плазмено преобразуване на въглероден диоксид  до въглероден оксид и молекулен кислород, което е свързано с транспорта и опазването на околната среда. Едно от големите постижения на кампус „Лозенец“ през 2021 г. е патентът за „Полифуранов пенест материал и метод за получаването му“ с автори Георги Цветанов Цветков, Тони Георгиев Спасов, Мариянка Николова Гаджева.</w:t>
      </w:r>
    </w:p>
    <w:p w:rsidR="00262231" w:rsidRPr="00E67FA1" w:rsidRDefault="00262231" w:rsidP="00E67F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7FA1">
        <w:rPr>
          <w:rFonts w:ascii="Times New Roman" w:hAnsi="Times New Roman" w:cs="Times New Roman"/>
          <w:sz w:val="28"/>
          <w:szCs w:val="28"/>
          <w:lang w:val="bg-BG"/>
        </w:rPr>
        <w:t xml:space="preserve">Презентацията на доц. Костадин Камберов бе за дейността на учените в кампус „Студентски град“, която е специализирана в областта на мехатрониката. Този комплекс с  ръководител проф. Георги Тодоров представлява обединение от техническите университети  в България и Химикотехнологичния и металургичен университет (ХТМУ) и се състои от 11 лаборатории. От тази година 16 секции от тези лаборатории ще бъдат разположени в реконструираното хале в Техническия университет, София, което днес е модерно оборудвана двуетажна структура. Практическата насоченост на провежданите изследвания стои в основата на сътрудничеството на кампус „Студентски град“ с  УМБАЛСМ „Н.И. Пирогов“, за която се изготвят индивидуални импланти и на първите стъпки на внедряване на нови продукти в „Коловаг“ АД – гр. Септември, „Трансвагон“ АД – гр. Бургас и „Стомана инженеринг“ </w:t>
      </w:r>
      <w:r w:rsidRPr="00E67FA1">
        <w:rPr>
          <w:rFonts w:ascii="Cambria Math" w:hAnsi="Cambria Math" w:cs="Cambria Math"/>
          <w:sz w:val="28"/>
          <w:szCs w:val="28"/>
          <w:lang w:val="bg-BG"/>
        </w:rPr>
        <w:t>‐</w:t>
      </w:r>
      <w:r w:rsidRPr="00E67FA1">
        <w:rPr>
          <w:rFonts w:ascii="Times New Roman" w:hAnsi="Times New Roman" w:cs="Times New Roman"/>
          <w:sz w:val="28"/>
          <w:szCs w:val="28"/>
          <w:lang w:val="bg-BG"/>
        </w:rPr>
        <w:t xml:space="preserve"> гр. Перник. Учените от кампуса активно  участват в Български иновационен и технологичен център “DIGITECH 4.0” и съвместно с ТУ –Габрово и ХТМУ работят по проект за модернизация на висшите училища. </w:t>
      </w:r>
    </w:p>
    <w:p w:rsidR="00262231" w:rsidRPr="00E67FA1" w:rsidRDefault="00262231" w:rsidP="00E67F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FA1">
        <w:rPr>
          <w:rFonts w:ascii="Times New Roman" w:hAnsi="Times New Roman" w:cs="Times New Roman"/>
          <w:sz w:val="28"/>
          <w:szCs w:val="28"/>
          <w:lang w:val="bg-BG"/>
        </w:rPr>
        <w:lastRenderedPageBreak/>
        <w:t>Ръководителят на кампус „Гео Милев“ проф. Пламен Стефанов, който е и ръководител на целия проект,  представи напредъка в дейностите по изграждане на третия изследователски комплекс от Центъра за върхови постижения по мехатроника и чисти технологии. Научната структурата на кампус „Гео Милев“ по проекта се изгражда от 12 звена на БАН, в които се провеждат изследвания в областта на мехатрониката и чистите технлогии. Голяма част от изследванията са свързани с осъществяване на</w:t>
      </w:r>
      <w:r w:rsidRPr="00E67FA1">
        <w:rPr>
          <w:sz w:val="28"/>
          <w:szCs w:val="28"/>
        </w:rPr>
        <w:t xml:space="preserve"> </w:t>
      </w:r>
      <w:r w:rsidRPr="00E67FA1">
        <w:rPr>
          <w:rFonts w:ascii="Times New Roman" w:hAnsi="Times New Roman" w:cs="Times New Roman"/>
          <w:sz w:val="28"/>
          <w:szCs w:val="28"/>
          <w:lang w:val="bg-BG"/>
        </w:rPr>
        <w:t xml:space="preserve">преход към нисковъглеродна и кръгова икономика и  успешно прилагане на „Зелената сделка“. Презентацията на проф. Маргарита Попова включваше резултати с приложение в създаването на презаредими батерии, суперкондензатори, електрохимични сензори, материали и технологии за пречистване на въздух, вода и въздух, за създаване на полезни продукти и ценни химикали от отпадъчни материали. Гл. ас. Татяна Симеонова показа резултати от експерименти за  повишаване на топлопроводността на композити с  потенциал за приложение във високо силовата микроелектроника, самолетостроенето и космическата индустрия и от изследването на свойствата на последно поколение многосилови биоактивни ортодонтски дъги. Учените от кампус „Гео Милев“ приключват 2021 г. с общо 56 публикации в индексирани издания, от които 2 публикации, попадащи в топ 10% и  16 - в първи квартил на </w:t>
      </w:r>
      <w:r w:rsidRPr="00E67FA1">
        <w:rPr>
          <w:rFonts w:ascii="Times New Roman" w:hAnsi="Times New Roman" w:cs="Times New Roman"/>
          <w:sz w:val="28"/>
          <w:szCs w:val="28"/>
        </w:rPr>
        <w:t>Web of Science</w:t>
      </w:r>
      <w:r w:rsidRPr="00E67FA1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E6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31" w:rsidRPr="00E67FA1" w:rsidRDefault="00262231" w:rsidP="00E67F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67FA1">
        <w:rPr>
          <w:rFonts w:ascii="Times New Roman" w:hAnsi="Times New Roman" w:cs="Times New Roman"/>
          <w:sz w:val="28"/>
          <w:szCs w:val="28"/>
          <w:lang w:val="bg-BG"/>
        </w:rPr>
        <w:t xml:space="preserve">Последната презентация в Информационен ден’2021 беше на експерт мониторинг и контрол Цветелина Владимирова за изпълнение на финансовия план и на основните индикатори, заложени в програмата по реализиране на проекта. Следващата година се очаква голяма част от индикаторите да бъдат изпълнени. Форумът  беше закрит от проф, Косева, която очерта основните задачи за 2022 г.  </w:t>
      </w:r>
    </w:p>
    <w:p w:rsidR="00660C5E" w:rsidRPr="00E67FA1" w:rsidRDefault="00660C5E">
      <w:pPr>
        <w:rPr>
          <w:sz w:val="28"/>
          <w:szCs w:val="28"/>
        </w:rPr>
      </w:pPr>
    </w:p>
    <w:sectPr w:rsidR="00660C5E" w:rsidRPr="00E6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31"/>
    <w:rsid w:val="00064E54"/>
    <w:rsid w:val="00262231"/>
    <w:rsid w:val="00660C5E"/>
    <w:rsid w:val="00687D31"/>
    <w:rsid w:val="00E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C825"/>
  <w15:chartTrackingRefBased/>
  <w15:docId w15:val="{B5E74FBA-7D64-4964-987A-1917796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64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BAN-2019-1</dc:creator>
  <cp:keywords/>
  <dc:description/>
  <cp:lastModifiedBy>BAN-2019-1</cp:lastModifiedBy>
  <cp:revision>2</cp:revision>
  <dcterms:created xsi:type="dcterms:W3CDTF">2021-12-20T11:39:00Z</dcterms:created>
  <dcterms:modified xsi:type="dcterms:W3CDTF">2021-12-20T11:39:00Z</dcterms:modified>
</cp:coreProperties>
</file>