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A0" w:rsidRDefault="002C3C0E">
      <w:pPr>
        <w:spacing w:after="211" w:line="259" w:lineRule="auto"/>
        <w:ind w:left="78" w:right="0" w:firstLine="0"/>
        <w:jc w:val="center"/>
      </w:pPr>
      <w:r>
        <w:rPr>
          <w:b/>
          <w:sz w:val="32"/>
        </w:rPr>
        <w:t xml:space="preserve"> </w:t>
      </w:r>
    </w:p>
    <w:p w:rsidR="006264A0" w:rsidRDefault="002C3C0E">
      <w:pPr>
        <w:spacing w:after="0" w:line="259" w:lineRule="auto"/>
        <w:ind w:left="77" w:right="0" w:firstLine="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1600200" cy="533400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6264A0" w:rsidRDefault="002C3C0E">
      <w:pPr>
        <w:spacing w:after="76" w:line="259" w:lineRule="auto"/>
        <w:ind w:left="0" w:right="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6264A0" w:rsidRDefault="002C3C0E">
      <w:pPr>
        <w:spacing w:after="98" w:line="259" w:lineRule="auto"/>
        <w:ind w:left="0" w:firstLine="0"/>
        <w:jc w:val="center"/>
      </w:pPr>
      <w:r>
        <w:rPr>
          <w:b/>
          <w:sz w:val="32"/>
          <w:u w:val="single" w:color="000000"/>
        </w:rPr>
        <w:t xml:space="preserve">Б Ъ Л Г А Р С К А   </w:t>
      </w:r>
      <w:proofErr w:type="spellStart"/>
      <w:r>
        <w:rPr>
          <w:b/>
          <w:sz w:val="32"/>
          <w:u w:val="single" w:color="000000"/>
        </w:rPr>
        <w:t>А</w:t>
      </w:r>
      <w:proofErr w:type="spellEnd"/>
      <w:r>
        <w:rPr>
          <w:b/>
          <w:sz w:val="32"/>
          <w:u w:val="single" w:color="000000"/>
        </w:rPr>
        <w:t xml:space="preserve"> К А Д Е М И Я   Н А   Н А У К И Т Е</w:t>
      </w:r>
      <w:r>
        <w:rPr>
          <w:b/>
          <w:sz w:val="32"/>
        </w:rPr>
        <w:t xml:space="preserve"> </w:t>
      </w:r>
    </w:p>
    <w:p w:rsidR="006264A0" w:rsidRDefault="002C3C0E">
      <w:pPr>
        <w:tabs>
          <w:tab w:val="center" w:pos="2255"/>
          <w:tab w:val="center" w:pos="6944"/>
        </w:tabs>
        <w:spacing w:after="192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1040  София,  ул. “15 ноември” № 1 </w:t>
      </w:r>
      <w:r>
        <w:rPr>
          <w:i/>
        </w:rPr>
        <w:tab/>
        <w:t xml:space="preserve">  </w:t>
      </w:r>
      <w:r>
        <w:rPr>
          <w:rFonts w:ascii="Wingdings" w:eastAsia="Wingdings" w:hAnsi="Wingdings" w:cs="Wingdings"/>
          <w:sz w:val="25"/>
        </w:rPr>
        <w:t></w:t>
      </w:r>
      <w:r>
        <w:rPr>
          <w:rFonts w:ascii="Wingdings" w:eastAsia="Wingdings" w:hAnsi="Wingdings" w:cs="Wingdings"/>
          <w:sz w:val="25"/>
        </w:rPr>
        <w:t></w:t>
      </w:r>
      <w:r>
        <w:rPr>
          <w:i/>
        </w:rPr>
        <w:t xml:space="preserve">(+359 2 979 5 203)     </w:t>
      </w:r>
      <w:hyperlink r:id="rId6">
        <w:r>
          <w:rPr>
            <w:i/>
            <w:color w:val="0563C1"/>
          </w:rPr>
          <w:t>http</w:t>
        </w:r>
      </w:hyperlink>
      <w:hyperlink r:id="rId7">
        <w:r>
          <w:rPr>
            <w:i/>
            <w:color w:val="0563C1"/>
          </w:rPr>
          <w:t>://</w:t>
        </w:r>
      </w:hyperlink>
      <w:hyperlink r:id="rId8">
        <w:r>
          <w:rPr>
            <w:i/>
            <w:color w:val="0563C1"/>
          </w:rPr>
          <w:t>www</w:t>
        </w:r>
      </w:hyperlink>
      <w:hyperlink r:id="rId9">
        <w:r>
          <w:rPr>
            <w:i/>
            <w:color w:val="0563C1"/>
          </w:rPr>
          <w:t>.</w:t>
        </w:r>
      </w:hyperlink>
      <w:hyperlink r:id="rId10">
        <w:r>
          <w:rPr>
            <w:i/>
            <w:color w:val="0563C1"/>
          </w:rPr>
          <w:t>bas</w:t>
        </w:r>
      </w:hyperlink>
      <w:hyperlink r:id="rId11">
        <w:r>
          <w:rPr>
            <w:i/>
            <w:color w:val="0563C1"/>
          </w:rPr>
          <w:t>.</w:t>
        </w:r>
      </w:hyperlink>
      <w:hyperlink r:id="rId12">
        <w:r>
          <w:rPr>
            <w:i/>
            <w:color w:val="0563C1"/>
          </w:rPr>
          <w:t>bg</w:t>
        </w:r>
      </w:hyperlink>
      <w:hyperlink r:id="rId13">
        <w:r>
          <w:rPr>
            <w:i/>
            <w:color w:val="0563C1"/>
          </w:rPr>
          <w:t xml:space="preserve"> </w:t>
        </w:r>
      </w:hyperlink>
    </w:p>
    <w:p w:rsidR="006264A0" w:rsidRDefault="002C3C0E">
      <w:pPr>
        <w:spacing w:after="293" w:line="259" w:lineRule="auto"/>
        <w:ind w:left="78" w:right="0" w:firstLine="0"/>
        <w:jc w:val="center"/>
      </w:pPr>
      <w:r>
        <w:rPr>
          <w:b/>
          <w:sz w:val="32"/>
        </w:rPr>
        <w:t xml:space="preserve"> </w:t>
      </w:r>
    </w:p>
    <w:p w:rsidR="006264A0" w:rsidRDefault="002C3C0E">
      <w:pPr>
        <w:pStyle w:val="Heading1"/>
      </w:pPr>
      <w:r>
        <w:t xml:space="preserve">БЪЛГАРСКА АКАДЕМИЯ НА НАУКИТЕ </w:t>
      </w:r>
    </w:p>
    <w:p w:rsidR="00133C70" w:rsidRDefault="002C3C0E" w:rsidP="00133C70">
      <w:pPr>
        <w:spacing w:after="0"/>
        <w:jc w:val="center"/>
        <w:rPr>
          <w:b/>
        </w:rPr>
      </w:pPr>
      <w:r>
        <w:rPr>
          <w:b/>
        </w:rPr>
        <w:t xml:space="preserve">ОБЯВЯВА </w:t>
      </w:r>
      <w:r w:rsidR="00133C70">
        <w:rPr>
          <w:b/>
        </w:rPr>
        <w:t xml:space="preserve">ТРИ </w:t>
      </w:r>
      <w:r>
        <w:rPr>
          <w:b/>
        </w:rPr>
        <w:t>СВОБОДН</w:t>
      </w:r>
      <w:r w:rsidR="00133C70">
        <w:rPr>
          <w:b/>
        </w:rPr>
        <w:t>И</w:t>
      </w:r>
      <w:r>
        <w:rPr>
          <w:b/>
        </w:rPr>
        <w:t xml:space="preserve"> ПОЗИЦИ</w:t>
      </w:r>
      <w:r w:rsidR="00133C70">
        <w:rPr>
          <w:b/>
        </w:rPr>
        <w:t xml:space="preserve">И </w:t>
      </w:r>
    </w:p>
    <w:p w:rsidR="00133C70" w:rsidRPr="009F34B4" w:rsidRDefault="00133C70" w:rsidP="00133C70">
      <w:pPr>
        <w:spacing w:after="0"/>
        <w:jc w:val="center"/>
        <w:rPr>
          <w:szCs w:val="24"/>
        </w:rPr>
      </w:pPr>
      <w:r>
        <w:rPr>
          <w:b/>
        </w:rPr>
        <w:t>ЗА</w:t>
      </w:r>
      <w:r w:rsidR="002C3C0E">
        <w:rPr>
          <w:b/>
        </w:rPr>
        <w:t xml:space="preserve"> </w:t>
      </w:r>
      <w:r w:rsidRPr="009F34B4">
        <w:rPr>
          <w:b/>
          <w:bCs/>
          <w:szCs w:val="24"/>
        </w:rPr>
        <w:t>ЕКСПЕРТ</w:t>
      </w:r>
      <w:r>
        <w:rPr>
          <w:b/>
          <w:bCs/>
          <w:szCs w:val="24"/>
        </w:rPr>
        <w:t xml:space="preserve"> КОМПЮТЪРНИ </w:t>
      </w:r>
      <w:r w:rsidRPr="009F34B4">
        <w:rPr>
          <w:b/>
          <w:bCs/>
          <w:szCs w:val="24"/>
        </w:rPr>
        <w:t>МРЕЖИ</w:t>
      </w:r>
      <w:r>
        <w:rPr>
          <w:b/>
          <w:bCs/>
          <w:szCs w:val="24"/>
        </w:rPr>
        <w:t xml:space="preserve"> И СИСТЕМИ</w:t>
      </w:r>
    </w:p>
    <w:p w:rsidR="006264A0" w:rsidRDefault="002C3C0E" w:rsidP="00133C70">
      <w:pPr>
        <w:spacing w:after="216" w:line="259" w:lineRule="auto"/>
        <w:ind w:left="0" w:right="6" w:firstLine="0"/>
        <w:jc w:val="center"/>
      </w:pPr>
      <w:r>
        <w:t xml:space="preserve"> </w:t>
      </w:r>
      <w:r>
        <w:rPr>
          <w:b/>
        </w:rPr>
        <w:t xml:space="preserve"> </w:t>
      </w:r>
    </w:p>
    <w:p w:rsidR="006264A0" w:rsidRDefault="002C3C0E">
      <w:pPr>
        <w:spacing w:after="260" w:line="259" w:lineRule="auto"/>
        <w:ind w:left="137" w:right="0" w:hanging="10"/>
      </w:pPr>
      <w:r>
        <w:rPr>
          <w:b/>
        </w:rPr>
        <w:t xml:space="preserve">Основни функции на експерта: </w:t>
      </w:r>
    </w:p>
    <w:p w:rsidR="006264A0" w:rsidRDefault="002C3C0E">
      <w:pPr>
        <w:spacing w:after="215" w:line="304" w:lineRule="auto"/>
        <w:ind w:left="137" w:right="-10" w:hanging="10"/>
        <w:jc w:val="both"/>
      </w:pPr>
      <w:r>
        <w:t xml:space="preserve">Изпълнява задачи в своята компетентност по </w:t>
      </w:r>
      <w:r w:rsidR="00133C70">
        <w:t xml:space="preserve">изпълнението на инвестицията на БАН, като краен получател по </w:t>
      </w:r>
      <w:r>
        <w:t xml:space="preserve">проект „Повишаване на иновационния капацитет на Българската академия на науките в сферата на зелените и цифровите технологии“, финансиран по Инструмента за възстановяване и устойчивост. </w:t>
      </w:r>
    </w:p>
    <w:p w:rsidR="006264A0" w:rsidRDefault="002C3C0E">
      <w:pPr>
        <w:spacing w:after="260" w:line="259" w:lineRule="auto"/>
        <w:ind w:left="137" w:right="0" w:hanging="10"/>
      </w:pPr>
      <w:r>
        <w:rPr>
          <w:b/>
        </w:rPr>
        <w:t xml:space="preserve">Основни отговорности на експерта: </w:t>
      </w:r>
    </w:p>
    <w:p w:rsidR="006F295A" w:rsidRPr="00C423A7" w:rsidRDefault="006F295A" w:rsidP="006F295A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3A7">
        <w:rPr>
          <w:rFonts w:ascii="Times New Roman" w:hAnsi="Times New Roman" w:cs="Times New Roman"/>
          <w:bCs/>
          <w:sz w:val="24"/>
          <w:szCs w:val="24"/>
        </w:rPr>
        <w:t>Извършва предварителни проучвания</w:t>
      </w:r>
      <w:r w:rsidRPr="00C423A7">
        <w:rPr>
          <w:rFonts w:ascii="Times New Roman" w:hAnsi="Times New Roman" w:cs="Times New Roman"/>
          <w:sz w:val="24"/>
          <w:szCs w:val="24"/>
        </w:rPr>
        <w:t xml:space="preserve"> и изготвя технически задания за изпълнение на дейностите по изграждане на високоскоростна оптична интернет свързаност между звената на академията. </w:t>
      </w:r>
    </w:p>
    <w:p w:rsidR="006F295A" w:rsidRPr="00C423A7" w:rsidRDefault="006F295A" w:rsidP="006F295A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3A7">
        <w:rPr>
          <w:rFonts w:ascii="Times New Roman" w:hAnsi="Times New Roman" w:cs="Times New Roman"/>
          <w:sz w:val="24"/>
          <w:szCs w:val="24"/>
        </w:rPr>
        <w:t xml:space="preserve">Изготвя технически задания за изпълнение на дейностите по инсталиране на платформа за защита от </w:t>
      </w:r>
      <w:proofErr w:type="spellStart"/>
      <w:r w:rsidRPr="00C423A7">
        <w:rPr>
          <w:rFonts w:ascii="Times New Roman" w:hAnsi="Times New Roman" w:cs="Times New Roman"/>
          <w:sz w:val="24"/>
          <w:szCs w:val="24"/>
          <w:lang w:val="en-US"/>
        </w:rPr>
        <w:t>DDoS</w:t>
      </w:r>
      <w:proofErr w:type="spellEnd"/>
      <w:r w:rsidRPr="00C423A7">
        <w:rPr>
          <w:rFonts w:ascii="Times New Roman" w:hAnsi="Times New Roman" w:cs="Times New Roman"/>
          <w:sz w:val="24"/>
          <w:szCs w:val="24"/>
        </w:rPr>
        <w:t xml:space="preserve"> атаки.</w:t>
      </w:r>
    </w:p>
    <w:p w:rsidR="006F295A" w:rsidRPr="00C423A7" w:rsidRDefault="006F295A" w:rsidP="006F295A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3A7">
        <w:rPr>
          <w:rFonts w:ascii="Times New Roman" w:hAnsi="Times New Roman" w:cs="Times New Roman"/>
          <w:sz w:val="24"/>
          <w:szCs w:val="24"/>
        </w:rPr>
        <w:t xml:space="preserve">Участва в изготвянето на документации за избор на изпълнители и методики за оценки, участва в комисии за избор на изпълнители; </w:t>
      </w:r>
    </w:p>
    <w:p w:rsidR="006F295A" w:rsidRPr="00C423A7" w:rsidRDefault="006F295A" w:rsidP="006F295A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3A7">
        <w:rPr>
          <w:rFonts w:ascii="Times New Roman" w:hAnsi="Times New Roman" w:cs="Times New Roman"/>
          <w:sz w:val="24"/>
          <w:szCs w:val="24"/>
        </w:rPr>
        <w:t xml:space="preserve">Подпомага подготовката на междинни технически отчети по проекта, отнасящи се до дейностите по изграждане на високоскоростна оптична интернет свързаност и по инсталиране на платформа за защита от </w:t>
      </w:r>
      <w:proofErr w:type="spellStart"/>
      <w:r w:rsidRPr="00C423A7">
        <w:rPr>
          <w:rFonts w:ascii="Times New Roman" w:hAnsi="Times New Roman" w:cs="Times New Roman"/>
          <w:sz w:val="24"/>
          <w:szCs w:val="24"/>
          <w:lang w:val="en-US"/>
        </w:rPr>
        <w:t>DDoS</w:t>
      </w:r>
      <w:proofErr w:type="spellEnd"/>
      <w:r w:rsidRPr="00C423A7">
        <w:rPr>
          <w:rFonts w:ascii="Times New Roman" w:hAnsi="Times New Roman" w:cs="Times New Roman"/>
          <w:sz w:val="24"/>
          <w:szCs w:val="24"/>
        </w:rPr>
        <w:t xml:space="preserve"> атаки;</w:t>
      </w:r>
    </w:p>
    <w:p w:rsidR="006F295A" w:rsidRPr="00C423A7" w:rsidRDefault="006F295A" w:rsidP="006F295A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3A7">
        <w:rPr>
          <w:rFonts w:ascii="Times New Roman" w:hAnsi="Times New Roman" w:cs="Times New Roman"/>
          <w:sz w:val="24"/>
          <w:szCs w:val="24"/>
        </w:rPr>
        <w:t xml:space="preserve">Осъществява инвеститорски контрол по извършване на дейностите по изграждане на високоскоростна оптична интернет свързаност и по инсталиране на платформа за защита от </w:t>
      </w:r>
      <w:proofErr w:type="spellStart"/>
      <w:r w:rsidRPr="00C423A7">
        <w:rPr>
          <w:rFonts w:ascii="Times New Roman" w:hAnsi="Times New Roman" w:cs="Times New Roman"/>
          <w:sz w:val="24"/>
          <w:szCs w:val="24"/>
          <w:lang w:val="en-US"/>
        </w:rPr>
        <w:t>DDoS</w:t>
      </w:r>
      <w:proofErr w:type="spellEnd"/>
      <w:r w:rsidRPr="00C423A7">
        <w:rPr>
          <w:rFonts w:ascii="Times New Roman" w:hAnsi="Times New Roman" w:cs="Times New Roman"/>
          <w:sz w:val="24"/>
          <w:szCs w:val="24"/>
        </w:rPr>
        <w:t xml:space="preserve"> атаки;</w:t>
      </w:r>
    </w:p>
    <w:p w:rsidR="006F295A" w:rsidRPr="00C423A7" w:rsidRDefault="006F295A" w:rsidP="006F295A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3A7">
        <w:rPr>
          <w:rFonts w:ascii="Times New Roman" w:hAnsi="Times New Roman" w:cs="Times New Roman"/>
          <w:sz w:val="24"/>
          <w:szCs w:val="24"/>
        </w:rPr>
        <w:t xml:space="preserve">Отговаря за стриктното изпълнение на поетите ангажименти във връзка с ИКТ дейностите по проект „Повишаване на иновационния капацитет на Българската академия на науките (БАН) в сферата на зелените и цифровите технологии“; </w:t>
      </w:r>
    </w:p>
    <w:p w:rsidR="006F295A" w:rsidRPr="00C423A7" w:rsidRDefault="006F295A" w:rsidP="006F295A">
      <w:pPr>
        <w:pStyle w:val="ListParagraph"/>
        <w:numPr>
          <w:ilvl w:val="0"/>
          <w:numId w:val="4"/>
        </w:num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3A7">
        <w:rPr>
          <w:rFonts w:ascii="Times New Roman" w:hAnsi="Times New Roman" w:cs="Times New Roman"/>
          <w:sz w:val="24"/>
          <w:szCs w:val="24"/>
        </w:rPr>
        <w:t>Осигурява съдействие при мониторинг или одит на проекта;</w:t>
      </w:r>
    </w:p>
    <w:p w:rsidR="006F295A" w:rsidRPr="00C423A7" w:rsidRDefault="006F295A" w:rsidP="006F295A">
      <w:pPr>
        <w:pStyle w:val="ListParagraph"/>
        <w:numPr>
          <w:ilvl w:val="0"/>
          <w:numId w:val="4"/>
        </w:num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3A7">
        <w:rPr>
          <w:rFonts w:ascii="Times New Roman" w:hAnsi="Times New Roman" w:cs="Times New Roman"/>
          <w:sz w:val="24"/>
          <w:szCs w:val="24"/>
        </w:rPr>
        <w:lastRenderedPageBreak/>
        <w:t>Представя документи и оказва необходимото съдействие при проверка от национални и европейски контролни и одитни органи, включително ЕК, ЕСП, ОЛАФ и Европейската прокуратура;</w:t>
      </w:r>
    </w:p>
    <w:p w:rsidR="006264A0" w:rsidRDefault="002C3C0E">
      <w:pPr>
        <w:spacing w:after="260" w:line="259" w:lineRule="auto"/>
        <w:ind w:left="137" w:right="0" w:hanging="10"/>
      </w:pPr>
      <w:r>
        <w:rPr>
          <w:b/>
        </w:rPr>
        <w:t xml:space="preserve">Изисквания към кандидатите: </w:t>
      </w:r>
    </w:p>
    <w:p w:rsidR="006264A0" w:rsidRDefault="002C3C0E">
      <w:pPr>
        <w:numPr>
          <w:ilvl w:val="0"/>
          <w:numId w:val="1"/>
        </w:numPr>
        <w:ind w:right="0" w:hanging="360"/>
      </w:pPr>
      <w:r>
        <w:t xml:space="preserve">Образование/ квалификация: висше образование, в областта на </w:t>
      </w:r>
      <w:r w:rsidR="00133C70">
        <w:t>информационни и комуникационни технологии.</w:t>
      </w:r>
    </w:p>
    <w:p w:rsidR="006264A0" w:rsidRDefault="002C3C0E">
      <w:pPr>
        <w:numPr>
          <w:ilvl w:val="0"/>
          <w:numId w:val="1"/>
        </w:numPr>
        <w:spacing w:after="180"/>
        <w:ind w:right="0" w:hanging="360"/>
      </w:pPr>
      <w:r>
        <w:t xml:space="preserve">Професионален опит:  минимум </w:t>
      </w:r>
      <w:r w:rsidR="00133C70">
        <w:t>5</w:t>
      </w:r>
      <w:r>
        <w:t xml:space="preserve"> год. по специалността  </w:t>
      </w:r>
    </w:p>
    <w:p w:rsidR="006264A0" w:rsidRDefault="002C3C0E">
      <w:pPr>
        <w:spacing w:after="260" w:line="259" w:lineRule="auto"/>
        <w:ind w:left="137" w:right="0" w:hanging="10"/>
      </w:pPr>
      <w:r>
        <w:rPr>
          <w:b/>
        </w:rPr>
        <w:t xml:space="preserve">Други условия: </w:t>
      </w:r>
    </w:p>
    <w:p w:rsidR="006264A0" w:rsidRDefault="002C3C0E">
      <w:pPr>
        <w:numPr>
          <w:ilvl w:val="0"/>
          <w:numId w:val="1"/>
        </w:numPr>
        <w:spacing w:after="0"/>
        <w:ind w:right="0" w:hanging="360"/>
      </w:pPr>
      <w:r>
        <w:t xml:space="preserve">Сключване на </w:t>
      </w:r>
      <w:r w:rsidR="00DC2D86">
        <w:t>срочен</w:t>
      </w:r>
      <w:r>
        <w:t xml:space="preserve"> трудов договор на непълно работно време за срок до </w:t>
      </w:r>
      <w:r w:rsidR="00133C70">
        <w:t xml:space="preserve">2 </w:t>
      </w:r>
      <w:r>
        <w:t xml:space="preserve">години; </w:t>
      </w:r>
    </w:p>
    <w:p w:rsidR="006264A0" w:rsidRDefault="002C3C0E">
      <w:pPr>
        <w:numPr>
          <w:ilvl w:val="0"/>
          <w:numId w:val="1"/>
        </w:numPr>
        <w:spacing w:after="0"/>
        <w:ind w:right="0" w:hanging="360"/>
      </w:pPr>
      <w:r>
        <w:t>Часова ставка – в зависимост от специфичния опит, мин.</w:t>
      </w:r>
      <w:r w:rsidR="00133C70">
        <w:t xml:space="preserve"> </w:t>
      </w:r>
      <w:r w:rsidR="00133C70" w:rsidRPr="00412D8B">
        <w:t>21</w:t>
      </w:r>
      <w:r w:rsidRPr="00412D8B">
        <w:t xml:space="preserve">.00 </w:t>
      </w:r>
      <w:proofErr w:type="spellStart"/>
      <w:r w:rsidRPr="00412D8B">
        <w:t>лв</w:t>
      </w:r>
      <w:proofErr w:type="spellEnd"/>
      <w:r w:rsidRPr="00412D8B">
        <w:t>/ч</w:t>
      </w:r>
      <w:r>
        <w:t xml:space="preserve"> </w:t>
      </w:r>
    </w:p>
    <w:p w:rsidR="006264A0" w:rsidRDefault="002C3C0E">
      <w:pPr>
        <w:spacing w:after="162" w:line="304" w:lineRule="auto"/>
        <w:ind w:left="137" w:right="-10" w:hanging="10"/>
        <w:jc w:val="both"/>
      </w:pPr>
      <w:r>
        <w:t xml:space="preserve">Позицията се финансира </w:t>
      </w:r>
      <w:r w:rsidR="00133C70">
        <w:t xml:space="preserve">от инвестицията на БАН, като краен получател по </w:t>
      </w:r>
      <w:r>
        <w:t xml:space="preserve">проект „Повишаване на иновационния капацитет на Българската академия на науките (БАН) в сферата на зелените и цифровите технологии“ в рамките на Национален план за </w:t>
      </w:r>
      <w:proofErr w:type="spellStart"/>
      <w:r>
        <w:t>възстанвяване</w:t>
      </w:r>
      <w:proofErr w:type="spellEnd"/>
      <w:r>
        <w:t xml:space="preserve"> и устойчивост. </w:t>
      </w:r>
    </w:p>
    <w:p w:rsidR="006264A0" w:rsidRDefault="002C3C0E">
      <w:pPr>
        <w:spacing w:after="34" w:line="259" w:lineRule="auto"/>
        <w:ind w:left="48" w:right="0" w:firstLine="0"/>
      </w:pPr>
      <w:r>
        <w:t xml:space="preserve"> </w:t>
      </w:r>
    </w:p>
    <w:p w:rsidR="006264A0" w:rsidRDefault="002C3C0E">
      <w:pPr>
        <w:spacing w:after="260" w:line="259" w:lineRule="auto"/>
        <w:ind w:left="10" w:right="0" w:hanging="10"/>
      </w:pPr>
      <w:r>
        <w:rPr>
          <w:b/>
        </w:rPr>
        <w:t xml:space="preserve">Необходими документи за кандидатстване: </w:t>
      </w:r>
    </w:p>
    <w:p w:rsidR="006264A0" w:rsidRDefault="002C3C0E">
      <w:pPr>
        <w:numPr>
          <w:ilvl w:val="0"/>
          <w:numId w:val="2"/>
        </w:numPr>
        <w:ind w:right="0" w:hanging="360"/>
      </w:pPr>
      <w:r>
        <w:t xml:space="preserve">Заявление (свободен текст с посочени данни за контакт)   </w:t>
      </w:r>
    </w:p>
    <w:p w:rsidR="006264A0" w:rsidRDefault="002C3C0E">
      <w:pPr>
        <w:numPr>
          <w:ilvl w:val="0"/>
          <w:numId w:val="2"/>
        </w:numPr>
        <w:ind w:right="0" w:hanging="360"/>
      </w:pPr>
      <w:r>
        <w:t xml:space="preserve">Автобиография (CV европейски формат); </w:t>
      </w:r>
    </w:p>
    <w:p w:rsidR="006264A0" w:rsidRDefault="002C3C0E">
      <w:pPr>
        <w:numPr>
          <w:ilvl w:val="0"/>
          <w:numId w:val="2"/>
        </w:numPr>
        <w:ind w:right="0" w:hanging="360"/>
      </w:pPr>
      <w:r>
        <w:t xml:space="preserve">Диплома за завършено висше образование; </w:t>
      </w:r>
    </w:p>
    <w:p w:rsidR="006264A0" w:rsidRDefault="002C3C0E">
      <w:pPr>
        <w:numPr>
          <w:ilvl w:val="0"/>
          <w:numId w:val="2"/>
        </w:numPr>
        <w:spacing w:after="160"/>
        <w:ind w:right="0" w:hanging="360"/>
      </w:pPr>
      <w:r>
        <w:t xml:space="preserve">Други дипломи, свидетелства и удостоверения за придобита квалификация/опит по преценка на кандидата. </w:t>
      </w:r>
    </w:p>
    <w:p w:rsidR="006264A0" w:rsidRDefault="002C3C0E">
      <w:pPr>
        <w:spacing w:after="197" w:line="304" w:lineRule="auto"/>
        <w:ind w:left="862" w:right="-10" w:hanging="10"/>
        <w:jc w:val="both"/>
      </w:pPr>
      <w:r>
        <w:t xml:space="preserve">Забележка: При подаването на документите се предоставят копия на дипломите и другите документи за придобита квалификация/опит, подписани от кандидата „Вярно с оригинала“. Оригиналите се представят при класиране и покана за назначаване.  </w:t>
      </w:r>
    </w:p>
    <w:p w:rsidR="006264A0" w:rsidRDefault="002C3C0E">
      <w:pPr>
        <w:spacing w:after="162"/>
        <w:ind w:left="852" w:right="0" w:firstLine="0"/>
      </w:pPr>
      <w:r>
        <w:t xml:space="preserve">Документи се приемат от </w:t>
      </w:r>
      <w:r w:rsidR="00412D8B">
        <w:t>30</w:t>
      </w:r>
      <w:r>
        <w:t>.0</w:t>
      </w:r>
      <w:r w:rsidR="00133C70">
        <w:t>3</w:t>
      </w:r>
      <w:r>
        <w:t>.202</w:t>
      </w:r>
      <w:r w:rsidR="00133C70">
        <w:t>3</w:t>
      </w:r>
      <w:r>
        <w:t xml:space="preserve"> г. до </w:t>
      </w:r>
      <w:r w:rsidR="00412D8B">
        <w:t>06</w:t>
      </w:r>
      <w:r>
        <w:t>.0</w:t>
      </w:r>
      <w:r w:rsidR="00412D8B">
        <w:t>4</w:t>
      </w:r>
      <w:r>
        <w:t>.202</w:t>
      </w:r>
      <w:r w:rsidR="00412D8B">
        <w:t>3</w:t>
      </w:r>
      <w:r>
        <w:t xml:space="preserve"> г. в деловодството на Българска академия на науките  на адрес: в гр. София, 1040, ул. „15 ноември“ №1 или на следната електронна поща: </w:t>
      </w:r>
      <w:r>
        <w:rPr>
          <w:color w:val="0000FF"/>
          <w:u w:val="single" w:color="0000FF"/>
        </w:rPr>
        <w:t>pvu_ban@cu.bas.bg</w:t>
      </w:r>
      <w:r>
        <w:t xml:space="preserve">.    </w:t>
      </w:r>
    </w:p>
    <w:p w:rsidR="006264A0" w:rsidRDefault="002C3C0E">
      <w:pPr>
        <w:spacing w:after="273" w:line="259" w:lineRule="auto"/>
        <w:ind w:left="852" w:right="0" w:firstLine="0"/>
      </w:pPr>
      <w:r>
        <w:t xml:space="preserve"> </w:t>
      </w:r>
    </w:p>
    <w:p w:rsidR="006264A0" w:rsidRDefault="002C3C0E">
      <w:pPr>
        <w:spacing w:after="260" w:line="259" w:lineRule="auto"/>
        <w:ind w:left="10" w:right="0" w:hanging="10"/>
      </w:pPr>
      <w:r>
        <w:rPr>
          <w:b/>
        </w:rPr>
        <w:t xml:space="preserve">Етапи на </w:t>
      </w:r>
      <w:r w:rsidR="00DC2D86">
        <w:rPr>
          <w:b/>
        </w:rPr>
        <w:t>подбора</w:t>
      </w:r>
      <w:r>
        <w:rPr>
          <w:b/>
        </w:rPr>
        <w:t xml:space="preserve">: </w:t>
      </w:r>
    </w:p>
    <w:p w:rsidR="006264A0" w:rsidRDefault="002C3C0E">
      <w:pPr>
        <w:numPr>
          <w:ilvl w:val="1"/>
          <w:numId w:val="2"/>
        </w:numPr>
        <w:spacing w:after="0"/>
        <w:ind w:right="0" w:hanging="360"/>
      </w:pPr>
      <w: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кандидати на страницата на БАН-А на адрес: </w:t>
      </w:r>
      <w:hyperlink r:id="rId14">
        <w:r>
          <w:rPr>
            <w:color w:val="0000FF"/>
            <w:u w:val="single" w:color="0000FF"/>
          </w:rPr>
          <w:t>www.bas.bg</w:t>
        </w:r>
      </w:hyperlink>
      <w:hyperlink r:id="rId15">
        <w:r>
          <w:t xml:space="preserve"> </w:t>
        </w:r>
      </w:hyperlink>
      <w:r>
        <w:t xml:space="preserve">(рубрика Дейности/Проекти на БАН по Националния план за възстановяване и устойчивост)  </w:t>
      </w:r>
    </w:p>
    <w:p w:rsidR="006264A0" w:rsidRDefault="002C3C0E">
      <w:pPr>
        <w:numPr>
          <w:ilvl w:val="1"/>
          <w:numId w:val="2"/>
        </w:numPr>
        <w:ind w:right="0" w:hanging="360"/>
      </w:pPr>
      <w:r>
        <w:t xml:space="preserve">Събеседване с допуснатите кандидати. </w:t>
      </w:r>
    </w:p>
    <w:p w:rsidR="006264A0" w:rsidRDefault="002C3C0E">
      <w:pPr>
        <w:numPr>
          <w:ilvl w:val="1"/>
          <w:numId w:val="2"/>
        </w:numPr>
        <w:ind w:right="0" w:hanging="360"/>
      </w:pPr>
      <w:r>
        <w:lastRenderedPageBreak/>
        <w:t>Публикуване на списък с</w:t>
      </w:r>
      <w:bookmarkStart w:id="0" w:name="_GoBack"/>
      <w:bookmarkEnd w:id="0"/>
      <w:r>
        <w:t xml:space="preserve"> класираните експерти на страницата на БАН на адрес: </w:t>
      </w:r>
    </w:p>
    <w:p w:rsidR="006264A0" w:rsidRDefault="00DD3900">
      <w:pPr>
        <w:spacing w:after="207"/>
        <w:ind w:left="1172" w:right="0" w:firstLine="0"/>
      </w:pPr>
      <w:hyperlink r:id="rId16">
        <w:r w:rsidR="002C3C0E">
          <w:rPr>
            <w:color w:val="0000FF"/>
            <w:u w:val="single" w:color="0000FF"/>
          </w:rPr>
          <w:t>www.bas.bg</w:t>
        </w:r>
      </w:hyperlink>
      <w:hyperlink r:id="rId17">
        <w:r w:rsidR="002C3C0E">
          <w:t xml:space="preserve"> </w:t>
        </w:r>
      </w:hyperlink>
      <w:r w:rsidR="002C3C0E">
        <w:t xml:space="preserve">(рубрика Дейности/Проекти на БАН по Националния план за възстановяване и устойчивост) </w:t>
      </w:r>
    </w:p>
    <w:p w:rsidR="006264A0" w:rsidRDefault="002C3C0E">
      <w:pPr>
        <w:ind w:left="1712" w:right="1688" w:firstLine="0"/>
      </w:pPr>
      <w:r>
        <w:t xml:space="preserve">За допълнителна информация: лице за контакти: Катя Александрова, началник отдел АОЧР </w:t>
      </w:r>
    </w:p>
    <w:p w:rsidR="006264A0" w:rsidRDefault="002C3C0E">
      <w:pPr>
        <w:ind w:left="1712" w:right="4158" w:firstLine="0"/>
      </w:pPr>
      <w:r>
        <w:t>e-</w:t>
      </w:r>
      <w:proofErr w:type="spellStart"/>
      <w:r>
        <w:t>mail</w:t>
      </w:r>
      <w:proofErr w:type="spellEnd"/>
      <w:r>
        <w:t xml:space="preserve">: k.aleksandrova@cu.bas.bg тел:  02 979 5356  </w:t>
      </w:r>
    </w:p>
    <w:sectPr w:rsidR="006264A0">
      <w:pgSz w:w="11906" w:h="16838"/>
      <w:pgMar w:top="1146" w:right="1131" w:bottom="118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591"/>
    <w:multiLevelType w:val="hybridMultilevel"/>
    <w:tmpl w:val="5BA66A00"/>
    <w:lvl w:ilvl="0" w:tplc="0500554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94F9E2">
      <w:start w:val="1"/>
      <w:numFmt w:val="decimal"/>
      <w:lvlText w:val="%2.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CBCE2">
      <w:start w:val="1"/>
      <w:numFmt w:val="lowerRoman"/>
      <w:lvlText w:val="%3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C4170">
      <w:start w:val="1"/>
      <w:numFmt w:val="decimal"/>
      <w:lvlText w:val="%4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78A896">
      <w:start w:val="1"/>
      <w:numFmt w:val="lowerLetter"/>
      <w:lvlText w:val="%5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2965A">
      <w:start w:val="1"/>
      <w:numFmt w:val="lowerRoman"/>
      <w:lvlText w:val="%6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E4556">
      <w:start w:val="1"/>
      <w:numFmt w:val="decimal"/>
      <w:lvlText w:val="%7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4C3D8">
      <w:start w:val="1"/>
      <w:numFmt w:val="lowerLetter"/>
      <w:lvlText w:val="%8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41078">
      <w:start w:val="1"/>
      <w:numFmt w:val="lowerRoman"/>
      <w:lvlText w:val="%9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D553E"/>
    <w:multiLevelType w:val="hybridMultilevel"/>
    <w:tmpl w:val="CB26F5DC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1D442DB"/>
    <w:multiLevelType w:val="hybridMultilevel"/>
    <w:tmpl w:val="825C801E"/>
    <w:lvl w:ilvl="0" w:tplc="FA2CEC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8A83590"/>
    <w:multiLevelType w:val="hybridMultilevel"/>
    <w:tmpl w:val="E2706D6A"/>
    <w:lvl w:ilvl="0" w:tplc="36EC79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115BE"/>
    <w:multiLevelType w:val="hybridMultilevel"/>
    <w:tmpl w:val="A5DEE7D4"/>
    <w:lvl w:ilvl="0" w:tplc="4AE0E0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C3974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0FD12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A3E40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622DC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AF938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05634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09006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28C68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A0"/>
    <w:rsid w:val="00133C70"/>
    <w:rsid w:val="002C3C0E"/>
    <w:rsid w:val="002F5FBE"/>
    <w:rsid w:val="00412D8B"/>
    <w:rsid w:val="006264A0"/>
    <w:rsid w:val="006F295A"/>
    <w:rsid w:val="00DC2D86"/>
    <w:rsid w:val="00D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BAD717-9CA8-461F-9F45-B21F8CE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" w:line="306" w:lineRule="auto"/>
      <w:ind w:left="512" w:right="4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0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aliases w:val="Yellow Bullet,Normal bullet 2,List Paragraph (numbered (a)),Bullets,List Paragraph Char Char Char,Use Case List Paragraph,List Paragraph2,Main numbered paragraph,Bullet paras,Colorful List - Accent 11,Text,Citation List,References,2"/>
    <w:basedOn w:val="Normal"/>
    <w:link w:val="ListParagraphChar"/>
    <w:uiPriority w:val="34"/>
    <w:qFormat/>
    <w:rsid w:val="006F295A"/>
    <w:pPr>
      <w:spacing w:after="0" w:line="240" w:lineRule="auto"/>
      <w:ind w:left="720" w:right="0" w:firstLine="0"/>
    </w:pPr>
    <w:rPr>
      <w:rFonts w:ascii="Calibri" w:eastAsiaTheme="minorHAnsi" w:hAnsi="Calibri" w:cs="Calibri"/>
      <w:color w:val="auto"/>
      <w:sz w:val="22"/>
      <w:lang w:eastAsia="en-US"/>
    </w:rPr>
  </w:style>
  <w:style w:type="character" w:customStyle="1" w:styleId="ListParagraphChar">
    <w:name w:val="List Paragraph Char"/>
    <w:aliases w:val="Yellow Bullet Char,Normal bullet 2 Char,List Paragraph (numbered (a)) Char,Bullets Char,List Paragraph Char Char Char Char,Use Case List Paragraph Char,List Paragraph2 Char,Main numbered paragraph Char,Bullet paras Char,Text Char"/>
    <w:link w:val="ListParagraph"/>
    <w:uiPriority w:val="34"/>
    <w:qFormat/>
    <w:rsid w:val="006F295A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.bg/" TargetMode="External"/><Relationship Id="rId13" Type="http://schemas.openxmlformats.org/officeDocument/2006/relationships/hyperlink" Target="http://www.bas.b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s.bg/" TargetMode="External"/><Relationship Id="rId12" Type="http://schemas.openxmlformats.org/officeDocument/2006/relationships/hyperlink" Target="http://www.bas.bg/" TargetMode="External"/><Relationship Id="rId17" Type="http://schemas.openxmlformats.org/officeDocument/2006/relationships/hyperlink" Target="http://www.bas.b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s.b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s.bg/" TargetMode="External"/><Relationship Id="rId11" Type="http://schemas.openxmlformats.org/officeDocument/2006/relationships/hyperlink" Target="http://www.bas.bg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bas.bg/" TargetMode="External"/><Relationship Id="rId10" Type="http://schemas.openxmlformats.org/officeDocument/2006/relationships/hyperlink" Target="http://www.bas.b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as.bg/" TargetMode="External"/><Relationship Id="rId14" Type="http://schemas.openxmlformats.org/officeDocument/2006/relationships/hyperlink" Target="http://www.ba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cp:lastModifiedBy>Katia Alexandrova</cp:lastModifiedBy>
  <cp:revision>5</cp:revision>
  <dcterms:created xsi:type="dcterms:W3CDTF">2023-03-29T07:31:00Z</dcterms:created>
  <dcterms:modified xsi:type="dcterms:W3CDTF">2023-03-30T06:26:00Z</dcterms:modified>
</cp:coreProperties>
</file>