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F3E14C" w14:textId="77777777" w:rsidR="003456CB" w:rsidRPr="00725EB1" w:rsidRDefault="003456CB" w:rsidP="003456CB">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mallCaps/>
          <w:noProof/>
          <w:sz w:val="28"/>
          <w:szCs w:val="28"/>
          <w:lang w:val="bg-BG" w:bidi="ar-SA"/>
        </w:rPr>
        <w:t xml:space="preserve">ДОГОВОР </w:t>
      </w:r>
      <w:r w:rsidRPr="00725EB1">
        <w:rPr>
          <w:rFonts w:ascii="Cambria" w:eastAsia="Times New Roman" w:hAnsi="Cambria" w:cs="Times New Roman"/>
          <w:b/>
          <w:caps/>
          <w:sz w:val="28"/>
          <w:szCs w:val="28"/>
          <w:lang w:val="bg-BG" w:bidi="ar-SA"/>
        </w:rPr>
        <w:t>за финансиране</w:t>
      </w:r>
      <w:r w:rsidRPr="00725EB1">
        <w:rPr>
          <w:rFonts w:ascii="Cambria" w:eastAsia="Times New Roman" w:hAnsi="Cambria" w:cs="Times New Roman"/>
          <w:b/>
          <w:sz w:val="28"/>
          <w:szCs w:val="28"/>
          <w:lang w:val="bg-BG" w:bidi="ar-SA"/>
        </w:rPr>
        <w:t xml:space="preserve"> </w:t>
      </w:r>
    </w:p>
    <w:p w14:paraId="5E16F26E" w14:textId="77777777" w:rsidR="003456CB" w:rsidRPr="00725EB1" w:rsidRDefault="003456CB" w:rsidP="003456CB">
      <w:pPr>
        <w:spacing w:before="120" w:after="120" w:line="240" w:lineRule="auto"/>
        <w:jc w:val="center"/>
        <w:rPr>
          <w:rFonts w:ascii="Cambria" w:eastAsia="Times New Roman" w:hAnsi="Cambria" w:cs="Times New Roman"/>
          <w:b/>
          <w:sz w:val="28"/>
          <w:szCs w:val="28"/>
          <w:lang w:val="bg-BG" w:bidi="ar-SA"/>
        </w:rPr>
      </w:pPr>
      <w:r w:rsidRPr="00725EB1">
        <w:rPr>
          <w:rFonts w:ascii="Cambria" w:eastAsia="Times New Roman" w:hAnsi="Cambria" w:cs="Times New Roman"/>
          <w:b/>
          <w:sz w:val="28"/>
          <w:szCs w:val="28"/>
          <w:lang w:val="bg-BG" w:bidi="ar-SA"/>
        </w:rPr>
        <w:t xml:space="preserve">от Механизма за възстановяване и устойчивост за изпълнение на </w:t>
      </w:r>
      <w:bookmarkStart w:id="0" w:name="_GoBack"/>
      <w:bookmarkEnd w:id="0"/>
      <w:r w:rsidRPr="00725EB1">
        <w:rPr>
          <w:rFonts w:ascii="Cambria" w:eastAsia="Times New Roman" w:hAnsi="Cambria" w:cs="Times New Roman"/>
          <w:b/>
          <w:sz w:val="28"/>
          <w:szCs w:val="28"/>
          <w:lang w:val="bg-BG" w:bidi="ar-SA"/>
        </w:rPr>
        <w:t xml:space="preserve">инвестиция по C2I2 „Повишаване на иновационния капацитет на Българската академия на науките (БАН) в сферата на зелените и цифровите технологии“ от Плана за възстановяване и устойчивост </w:t>
      </w:r>
    </w:p>
    <w:p w14:paraId="315F4D4A" w14:textId="77777777" w:rsidR="003456CB" w:rsidRPr="00725EB1" w:rsidRDefault="003456CB" w:rsidP="003456CB">
      <w:pPr>
        <w:spacing w:after="0" w:line="240" w:lineRule="auto"/>
        <w:jc w:val="center"/>
        <w:rPr>
          <w:rFonts w:ascii="Cambria" w:eastAsia="Times New Roman" w:hAnsi="Cambria" w:cs="Times New Roman"/>
          <w:b/>
          <w:sz w:val="24"/>
          <w:szCs w:val="20"/>
          <w:lang w:val="bg-BG" w:bidi="ar-SA"/>
        </w:rPr>
      </w:pPr>
    </w:p>
    <w:p w14:paraId="3024D5DE" w14:textId="77777777" w:rsidR="003456CB" w:rsidRPr="00725EB1" w:rsidRDefault="003456CB" w:rsidP="003456CB">
      <w:pPr>
        <w:tabs>
          <w:tab w:val="left" w:pos="-1701"/>
          <w:tab w:val="left" w:pos="-1560"/>
        </w:tabs>
        <w:spacing w:after="120" w:line="240" w:lineRule="auto"/>
        <w:jc w:val="center"/>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w:t>
      </w:r>
      <w:r w:rsidRPr="00725EB1">
        <w:rPr>
          <w:rFonts w:ascii="Cambria" w:eastAsia="Times New Roman" w:hAnsi="Cambria" w:cs="Times New Roman"/>
          <w:i/>
          <w:sz w:val="23"/>
          <w:szCs w:val="23"/>
          <w:lang w:val="bg-BG" w:bidi="ar-SA"/>
        </w:rPr>
        <w:t>Идентификационен номер на договора за финансиране</w:t>
      </w:r>
      <w:r w:rsidRPr="00725EB1">
        <w:rPr>
          <w:rFonts w:ascii="Cambria" w:eastAsia="Times New Roman" w:hAnsi="Cambria" w:cs="Times New Roman"/>
          <w:b/>
          <w:sz w:val="23"/>
          <w:szCs w:val="23"/>
          <w:lang w:val="bg-BG" w:bidi="ar-SA"/>
        </w:rPr>
        <w:t>]</w:t>
      </w:r>
    </w:p>
    <w:p w14:paraId="102D7227"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p>
    <w:p w14:paraId="3A81071A" w14:textId="77777777" w:rsidR="003456CB" w:rsidRPr="00725EB1" w:rsidRDefault="003456CB" w:rsidP="003456CB">
      <w:pPr>
        <w:spacing w:after="120" w:line="240" w:lineRule="auto"/>
        <w:rPr>
          <w:rFonts w:ascii="Cambria" w:eastAsia="Times New Roman" w:hAnsi="Cambria" w:cs="Times New Roman"/>
          <w:sz w:val="23"/>
          <w:szCs w:val="23"/>
          <w:lang w:val="en-GB" w:bidi="ar-SA"/>
        </w:rPr>
      </w:pPr>
      <w:r w:rsidRPr="00725EB1">
        <w:rPr>
          <w:rFonts w:ascii="Cambria" w:eastAsia="Times New Roman" w:hAnsi="Cambria" w:cs="Times New Roman"/>
          <w:sz w:val="23"/>
          <w:szCs w:val="23"/>
          <w:lang w:val="bg-BG" w:bidi="ar-SA"/>
        </w:rPr>
        <w:t>Долуподписаните страни:</w:t>
      </w:r>
    </w:p>
    <w:p w14:paraId="02FA4E7C" w14:textId="77777777" w:rsidR="003456CB" w:rsidRPr="00725EB1" w:rsidRDefault="003456CB" w:rsidP="003456C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p>
    <w:p w14:paraId="57A19CF3" w14:textId="71B70EC9" w:rsidR="003456CB" w:rsidRPr="00725EB1" w:rsidRDefault="003456CB" w:rsidP="003456CB">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 xml:space="preserve">1. …………………………………., в качеството й/му на </w:t>
      </w:r>
      <w:r w:rsidRPr="00725EB1">
        <w:rPr>
          <w:rFonts w:ascii="Cambria" w:eastAsia="Times New Roman" w:hAnsi="Cambria" w:cs="Times New Roman"/>
          <w:sz w:val="23"/>
          <w:szCs w:val="23"/>
          <w:lang w:val="bg-BG" w:bidi="ar-SA"/>
        </w:rPr>
        <w:t>Ръководител на Структурата за наблюдение и докладване („СНД“) по Механизма за възстановяване и устойчивост (МВУ) на ЕС, създаден с Регламент (ЕС) 2021/241</w:t>
      </w:r>
      <w:r w:rsidR="00E95AF2" w:rsidRPr="00725EB1">
        <w:rPr>
          <w:rFonts w:ascii="Cambria" w:eastAsia="Times New Roman" w:hAnsi="Cambria" w:cs="Times New Roman"/>
          <w:sz w:val="23"/>
          <w:szCs w:val="23"/>
          <w:lang w:val="bg-BG" w:bidi="ar-SA"/>
        </w:rPr>
        <w:t>,</w:t>
      </w:r>
      <w:r w:rsidRPr="00725EB1">
        <w:rPr>
          <w:rFonts w:ascii="Cambria" w:eastAsia="Times New Roman" w:hAnsi="Cambria" w:cs="Times New Roman"/>
          <w:sz w:val="23"/>
          <w:szCs w:val="23"/>
          <w:lang w:val="bg-BG" w:bidi="ar-SA"/>
        </w:rPr>
        <w:t xml:space="preserve"> в </w:t>
      </w:r>
      <w:r w:rsidR="00E95AF2" w:rsidRPr="00725EB1">
        <w:rPr>
          <w:rFonts w:ascii="Cambria" w:eastAsia="Times New Roman" w:hAnsi="Cambria" w:cs="Times New Roman"/>
          <w:sz w:val="23"/>
          <w:szCs w:val="23"/>
          <w:lang w:val="bg-BG" w:bidi="ar-SA"/>
        </w:rPr>
        <w:t xml:space="preserve">Българска академия на науките с адрес  София, 1040, ул. „15 ноември“ №1, </w:t>
      </w:r>
      <w:r w:rsidR="00E95AF2" w:rsidRPr="00725EB1">
        <w:rPr>
          <w:rFonts w:ascii="Cambria" w:eastAsia="Times New Roman" w:hAnsi="Cambria" w:cs="Times New Roman"/>
          <w:i/>
          <w:sz w:val="23"/>
          <w:szCs w:val="23"/>
          <w:lang w:val="bg-BG" w:bidi="ar-SA"/>
        </w:rPr>
        <w:t>определена</w:t>
      </w:r>
      <w:r w:rsidRPr="00725EB1">
        <w:rPr>
          <w:rFonts w:ascii="Cambria" w:eastAsia="Times New Roman" w:hAnsi="Cambria" w:cs="Times New Roman"/>
          <w:i/>
          <w:sz w:val="23"/>
          <w:szCs w:val="23"/>
          <w:lang w:val="bg-BG" w:bidi="ar-SA"/>
        </w:rPr>
        <w:t xml:space="preserve"> за СНД</w:t>
      </w:r>
      <w:r w:rsidRPr="00725EB1">
        <w:rPr>
          <w:rFonts w:ascii="Cambria" w:eastAsia="Times New Roman" w:hAnsi="Cambria" w:cs="Times New Roman"/>
          <w:sz w:val="23"/>
          <w:szCs w:val="23"/>
          <w:lang w:val="bg-BG" w:bidi="ar-SA"/>
        </w:rPr>
        <w:t xml:space="preserve">, </w:t>
      </w:r>
    </w:p>
    <w:p w14:paraId="6E0EEF11" w14:textId="77777777" w:rsidR="003456CB" w:rsidRPr="00725EB1" w:rsidRDefault="003456CB" w:rsidP="003456C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sz w:val="23"/>
          <w:szCs w:val="23"/>
          <w:lang w:val="bg-BG" w:bidi="ar-SA"/>
        </w:rPr>
        <w:t xml:space="preserve">наричан/а по-нататък </w:t>
      </w:r>
      <w:r w:rsidRPr="00725EB1">
        <w:rPr>
          <w:rFonts w:ascii="Cambria" w:eastAsia="Times New Roman" w:hAnsi="Cambria" w:cs="Times New Roman"/>
          <w:color w:val="000000"/>
          <w:sz w:val="23"/>
          <w:szCs w:val="23"/>
          <w:lang w:val="bg-BG" w:bidi="ar-SA"/>
        </w:rPr>
        <w:t xml:space="preserve">„Ръководител на СНД” или само „СНД“, </w:t>
      </w:r>
    </w:p>
    <w:p w14:paraId="4DF65962" w14:textId="77777777" w:rsidR="003456CB" w:rsidRPr="00725EB1" w:rsidRDefault="003456CB" w:rsidP="00E95AF2">
      <w:pPr>
        <w:autoSpaceDE w:val="0"/>
        <w:autoSpaceDN w:val="0"/>
        <w:adjustRightInd w:val="0"/>
        <w:spacing w:after="120" w:line="240" w:lineRule="auto"/>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от една страна, </w:t>
      </w:r>
    </w:p>
    <w:p w14:paraId="7ECFE854" w14:textId="77777777" w:rsidR="003456CB" w:rsidRPr="00725EB1" w:rsidRDefault="003456CB" w:rsidP="003456CB">
      <w:pPr>
        <w:autoSpaceDE w:val="0"/>
        <w:autoSpaceDN w:val="0"/>
        <w:adjustRightInd w:val="0"/>
        <w:spacing w:after="120" w:line="240" w:lineRule="auto"/>
        <w:jc w:val="both"/>
        <w:rPr>
          <w:rFonts w:ascii="Cambria" w:eastAsia="Times New Roman" w:hAnsi="Cambria" w:cs="Times New Roman"/>
          <w:color w:val="000000"/>
          <w:sz w:val="23"/>
          <w:szCs w:val="23"/>
          <w:lang w:val="bg-BG" w:bidi="ar-SA"/>
        </w:rPr>
      </w:pPr>
      <w:r w:rsidRPr="00725EB1">
        <w:rPr>
          <w:rFonts w:ascii="Cambria" w:eastAsia="Times New Roman" w:hAnsi="Cambria" w:cs="Times New Roman"/>
          <w:color w:val="000000"/>
          <w:sz w:val="23"/>
          <w:szCs w:val="23"/>
          <w:lang w:val="bg-BG" w:bidi="ar-SA"/>
        </w:rPr>
        <w:t xml:space="preserve">и </w:t>
      </w:r>
    </w:p>
    <w:p w14:paraId="0910D5A8" w14:textId="77777777" w:rsidR="003456CB" w:rsidRPr="00725EB1" w:rsidRDefault="003456CB" w:rsidP="003456CB">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 [Пълно наименование на крайния получател съгласно регистрацията му]</w:t>
      </w:r>
    </w:p>
    <w:p w14:paraId="65E13A50" w14:textId="77777777" w:rsidR="003456CB" w:rsidRPr="00725EB1" w:rsidRDefault="003456CB" w:rsidP="003456CB">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[Седалище и адрес на управление]</w:t>
      </w:r>
    </w:p>
    <w:p w14:paraId="0C86F651" w14:textId="77777777" w:rsidR="003456CB" w:rsidRPr="00725EB1" w:rsidRDefault="003456CB" w:rsidP="003456CB">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[ЕИК или еквивалентен официален регистрационен номер],</w:t>
      </w:r>
    </w:p>
    <w:p w14:paraId="2848FFAD" w14:textId="5699E059" w:rsidR="003456CB" w:rsidRPr="00725EB1" w:rsidRDefault="003456CB" w:rsidP="00E95AF2">
      <w:pPr>
        <w:autoSpaceDE w:val="0"/>
        <w:autoSpaceDN w:val="0"/>
        <w:adjustRightInd w:val="0"/>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color w:val="000000"/>
          <w:sz w:val="23"/>
          <w:szCs w:val="23"/>
          <w:lang w:val="bg-BG" w:bidi="ar-SA"/>
        </w:rPr>
        <w:t>наричан по-нататък “</w:t>
      </w:r>
      <w:r w:rsidRPr="00725EB1">
        <w:rPr>
          <w:rFonts w:ascii="Cambria" w:eastAsia="Times New Roman" w:hAnsi="Cambria" w:cs="Times New Roman"/>
          <w:bCs/>
          <w:color w:val="000000"/>
          <w:sz w:val="23"/>
          <w:szCs w:val="23"/>
          <w:lang w:val="bg-BG" w:bidi="ar-SA"/>
        </w:rPr>
        <w:t>Краен получател на средства от МВУ</w:t>
      </w:r>
      <w:r w:rsidRPr="00725EB1">
        <w:rPr>
          <w:rFonts w:ascii="Cambria" w:eastAsia="Times New Roman" w:hAnsi="Cambria" w:cs="Times New Roman"/>
          <w:color w:val="000000"/>
          <w:sz w:val="23"/>
          <w:szCs w:val="23"/>
          <w:lang w:val="bg-BG" w:bidi="ar-SA"/>
        </w:rPr>
        <w:t xml:space="preserve">” или само „Краен получател“, </w:t>
      </w:r>
      <w:r w:rsidRPr="00725EB1">
        <w:rPr>
          <w:rFonts w:ascii="Cambria" w:eastAsia="Times New Roman" w:hAnsi="Cambria" w:cs="Times New Roman"/>
          <w:sz w:val="23"/>
          <w:szCs w:val="23"/>
          <w:lang w:val="bg-BG" w:bidi="ar-SA"/>
        </w:rPr>
        <w:t xml:space="preserve">от друга страна, </w:t>
      </w:r>
    </w:p>
    <w:p w14:paraId="13855469" w14:textId="3F5B640F"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 (ПМС № 114/2022), във връзка с постъпило  предложение </w:t>
      </w:r>
      <w:r w:rsidR="00E95AF2" w:rsidRPr="00725EB1">
        <w:rPr>
          <w:rFonts w:ascii="Cambria" w:eastAsia="Times New Roman" w:hAnsi="Cambria" w:cs="Times New Roman"/>
          <w:sz w:val="23"/>
          <w:szCs w:val="23"/>
          <w:lang w:val="bg-BG" w:bidi="ar-SA"/>
        </w:rPr>
        <w:t>за изпълнение на инвестиция по Националния п</w:t>
      </w:r>
      <w:r w:rsidRPr="00725EB1">
        <w:rPr>
          <w:rFonts w:ascii="Cambria" w:eastAsia="Times New Roman" w:hAnsi="Cambria" w:cs="Times New Roman"/>
          <w:sz w:val="23"/>
          <w:szCs w:val="23"/>
          <w:lang w:val="bg-BG" w:bidi="ar-SA"/>
        </w:rPr>
        <w:t>лан за възстановяване и устойчив</w:t>
      </w:r>
      <w:r w:rsidR="00E95AF2" w:rsidRPr="00725EB1">
        <w:rPr>
          <w:rFonts w:ascii="Cambria" w:eastAsia="Times New Roman" w:hAnsi="Cambria" w:cs="Times New Roman"/>
          <w:sz w:val="23"/>
          <w:szCs w:val="23"/>
          <w:lang w:val="bg-BG" w:bidi="ar-SA"/>
        </w:rPr>
        <w:t xml:space="preserve">ост (ПВУ) </w:t>
      </w:r>
      <w:r w:rsidR="00E95AF2" w:rsidRPr="00725EB1">
        <w:rPr>
          <w:rFonts w:ascii="Cambria" w:eastAsia="Times New Roman" w:hAnsi="Cambria" w:cs="Times New Roman"/>
          <w:i/>
          <w:iCs/>
          <w:sz w:val="23"/>
          <w:szCs w:val="23"/>
          <w:lang w:val="bg-BG" w:bidi="ar-SA"/>
        </w:rPr>
        <w:t>C2I2: Повишаване на иновационния капацитет на Българската академия на науките (БАН) в сферата на зелените и цифровите технологии</w:t>
      </w:r>
      <w:r w:rsidRPr="00725EB1">
        <w:rPr>
          <w:rFonts w:ascii="Cambria" w:eastAsia="Times New Roman" w:hAnsi="Cambria" w:cs="Times New Roman"/>
          <w:sz w:val="23"/>
          <w:szCs w:val="23"/>
          <w:lang w:val="bg-BG" w:bidi="ar-SA"/>
        </w:rPr>
        <w:t xml:space="preserve"> в Информационната система </w:t>
      </w:r>
      <w:r w:rsidR="00B272D1" w:rsidRPr="00725EB1">
        <w:rPr>
          <w:rFonts w:ascii="Cambria" w:eastAsia="Times New Roman" w:hAnsi="Cambria" w:cs="Times New Roman"/>
          <w:sz w:val="23"/>
          <w:szCs w:val="23"/>
          <w:lang w:val="bg-BG" w:bidi="ar-SA"/>
        </w:rPr>
        <w:t>за Плана за възстановяване и устойчивост</w:t>
      </w:r>
      <w:r w:rsidRPr="00725EB1">
        <w:rPr>
          <w:rFonts w:ascii="Cambria" w:eastAsia="Times New Roman" w:hAnsi="Cambria" w:cs="Times New Roman"/>
          <w:sz w:val="23"/>
          <w:szCs w:val="23"/>
          <w:lang w:val="bg-BG" w:bidi="ar-SA"/>
        </w:rPr>
        <w:t xml:space="preserve"> (ИС </w:t>
      </w:r>
      <w:r w:rsidR="00D37385" w:rsidRPr="00725EB1">
        <w:rPr>
          <w:rFonts w:ascii="Cambria" w:eastAsia="Times New Roman" w:hAnsi="Cambria" w:cs="Times New Roman"/>
          <w:sz w:val="23"/>
          <w:szCs w:val="23"/>
          <w:lang w:val="bg-BG" w:bidi="ar-SA"/>
        </w:rPr>
        <w:t>за</w:t>
      </w:r>
      <w:r w:rsidRPr="00725EB1">
        <w:rPr>
          <w:rFonts w:ascii="Cambria" w:eastAsia="Times New Roman" w:hAnsi="Cambria" w:cs="Times New Roman"/>
          <w:sz w:val="23"/>
          <w:szCs w:val="23"/>
          <w:lang w:val="bg-BG" w:bidi="ar-SA"/>
        </w:rPr>
        <w:t xml:space="preserve"> </w:t>
      </w:r>
      <w:r w:rsidR="00D37385" w:rsidRPr="00725EB1">
        <w:rPr>
          <w:rFonts w:ascii="Cambria" w:eastAsia="Times New Roman" w:hAnsi="Cambria" w:cs="Times New Roman"/>
          <w:sz w:val="23"/>
          <w:szCs w:val="23"/>
          <w:lang w:val="bg-BG" w:bidi="ar-SA"/>
        </w:rPr>
        <w:t>ПВУ</w:t>
      </w:r>
      <w:r w:rsidRPr="00725EB1">
        <w:rPr>
          <w:rFonts w:ascii="Cambria" w:eastAsia="Times New Roman" w:hAnsi="Cambria" w:cs="Times New Roman"/>
          <w:sz w:val="23"/>
          <w:szCs w:val="23"/>
          <w:lang w:val="bg-BG" w:bidi="ar-SA"/>
        </w:rPr>
        <w:t>) по процедура за подбор на крайни получатели [</w:t>
      </w:r>
      <w:r w:rsidRPr="00725EB1">
        <w:rPr>
          <w:rFonts w:ascii="Cambria" w:eastAsia="Times New Roman" w:hAnsi="Cambria" w:cs="Times New Roman"/>
          <w:i/>
          <w:iCs/>
          <w:sz w:val="23"/>
          <w:szCs w:val="23"/>
          <w:lang w:val="bg-BG" w:bidi="ar-SA"/>
        </w:rPr>
        <w:t xml:space="preserve">код </w:t>
      </w:r>
      <w:r w:rsidR="00E95AF2" w:rsidRPr="00725EB1">
        <w:rPr>
          <w:rFonts w:ascii="Cambria" w:eastAsia="Times New Roman" w:hAnsi="Cambria" w:cs="Times New Roman"/>
          <w:i/>
          <w:iCs/>
          <w:sz w:val="23"/>
          <w:szCs w:val="23"/>
          <w:lang w:val="bg-BG" w:bidi="ar-SA"/>
        </w:rPr>
        <w:t>Надграждане на Единния център за иновации на БАН</w:t>
      </w:r>
      <w:r w:rsidRPr="00725EB1">
        <w:rPr>
          <w:rFonts w:ascii="Cambria" w:eastAsia="Times New Roman" w:hAnsi="Cambria" w:cs="Times New Roman"/>
          <w:sz w:val="23"/>
          <w:szCs w:val="23"/>
          <w:lang w:val="bg-BG" w:bidi="ar-SA"/>
        </w:rPr>
        <w:t>] и т. .. от Решение [</w:t>
      </w:r>
      <w:r w:rsidRPr="00725EB1">
        <w:rPr>
          <w:rFonts w:ascii="Cambria" w:eastAsia="Times New Roman" w:hAnsi="Cambria" w:cs="Times New Roman"/>
          <w:i/>
          <w:iCs/>
          <w:sz w:val="23"/>
          <w:szCs w:val="23"/>
          <w:lang w:val="bg-BG" w:bidi="ar-SA"/>
        </w:rPr>
        <w:t>номер и дата на решението</w:t>
      </w:r>
      <w:r w:rsidRPr="00725EB1">
        <w:rPr>
          <w:rFonts w:ascii="Cambria" w:eastAsia="Times New Roman" w:hAnsi="Cambria" w:cs="Times New Roman"/>
          <w:sz w:val="23"/>
          <w:szCs w:val="23"/>
          <w:lang w:val="bg-BG" w:bidi="ar-SA"/>
        </w:rPr>
        <w:t xml:space="preserve">] на Ръководителя на СНД за предоставяне на средства от Механизма за възстановяване и устойчивост (МВУ) по чл. 20, ал. 1 от ПМС № 114/2022, </w:t>
      </w:r>
      <w:r w:rsidR="00B272D1" w:rsidRPr="00725EB1">
        <w:rPr>
          <w:rFonts w:ascii="Cambria" w:eastAsia="Times New Roman" w:hAnsi="Cambria" w:cs="Times New Roman"/>
          <w:sz w:val="23"/>
          <w:szCs w:val="23"/>
          <w:lang w:val="bg-BG" w:bidi="ar-SA"/>
        </w:rPr>
        <w:t xml:space="preserve"> </w:t>
      </w:r>
    </w:p>
    <w:p w14:paraId="7D03FB56" w14:textId="77777777" w:rsidR="003456CB" w:rsidRPr="00725EB1" w:rsidRDefault="003456CB" w:rsidP="003456CB">
      <w:pPr>
        <w:spacing w:after="120" w:line="240" w:lineRule="auto"/>
        <w:ind w:left="567" w:hanging="567"/>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се споразумяха за следното:</w:t>
      </w:r>
    </w:p>
    <w:p w14:paraId="1CCDFF1E" w14:textId="77777777" w:rsidR="003456CB" w:rsidRPr="00725EB1" w:rsidRDefault="003456CB" w:rsidP="003456CB">
      <w:pPr>
        <w:spacing w:after="120" w:line="240" w:lineRule="auto"/>
        <w:ind w:left="567" w:hanging="567"/>
        <w:jc w:val="both"/>
        <w:rPr>
          <w:rFonts w:ascii="Cambria" w:eastAsia="Times New Roman" w:hAnsi="Cambria" w:cs="Times New Roman"/>
          <w:sz w:val="23"/>
          <w:szCs w:val="23"/>
          <w:lang w:val="bg-BG" w:bidi="ar-SA"/>
        </w:rPr>
      </w:pPr>
    </w:p>
    <w:p w14:paraId="25C0D287" w14:textId="77777777" w:rsidR="003456CB" w:rsidRPr="00725EB1" w:rsidRDefault="003456CB" w:rsidP="003456CB">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 Предмет</w:t>
      </w:r>
    </w:p>
    <w:tbl>
      <w:tblPr>
        <w:tblW w:w="0" w:type="auto"/>
        <w:tblInd w:w="-34" w:type="dxa"/>
        <w:tblLook w:val="04A0" w:firstRow="1" w:lastRow="0" w:firstColumn="1" w:lastColumn="0" w:noHBand="0" w:noVBand="1"/>
      </w:tblPr>
      <w:tblGrid>
        <w:gridCol w:w="568"/>
        <w:gridCol w:w="8930"/>
      </w:tblGrid>
      <w:tr w:rsidR="003456CB" w:rsidRPr="00725EB1" w14:paraId="1A707ED9" w14:textId="77777777" w:rsidTr="000D4FEF">
        <w:tc>
          <w:tcPr>
            <w:tcW w:w="568" w:type="dxa"/>
            <w:shd w:val="clear" w:color="auto" w:fill="auto"/>
          </w:tcPr>
          <w:p w14:paraId="71595A75" w14:textId="77777777" w:rsidR="003456CB" w:rsidRPr="00725EB1" w:rsidRDefault="003456CB" w:rsidP="003456CB">
            <w:pPr>
              <w:numPr>
                <w:ilvl w:val="0"/>
                <w:numId w:val="6"/>
              </w:numPr>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0BF03D68" w14:textId="591B67C0" w:rsidR="003456CB" w:rsidRPr="00725EB1" w:rsidRDefault="003456CB" w:rsidP="00222357">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Ръководителят на СНД предоставя на Крайния получател безвъзмездно финансиране за изпълнение на инвестиция [</w:t>
            </w:r>
            <w:r w:rsidRPr="00725EB1">
              <w:rPr>
                <w:rFonts w:ascii="Cambria" w:eastAsia="Times New Roman" w:hAnsi="Cambria" w:cs="Times New Roman"/>
                <w:i/>
                <w:sz w:val="23"/>
                <w:szCs w:val="23"/>
                <w:lang w:val="bg-BG" w:bidi="ar-SA"/>
              </w:rPr>
              <w:t xml:space="preserve">наименование и номер в ИС </w:t>
            </w:r>
            <w:r w:rsidR="00222357" w:rsidRPr="00725EB1">
              <w:rPr>
                <w:rFonts w:ascii="Cambria" w:eastAsia="Times New Roman" w:hAnsi="Cambria" w:cs="Times New Roman"/>
                <w:i/>
                <w:sz w:val="23"/>
                <w:szCs w:val="23"/>
                <w:lang w:val="bg-BG" w:bidi="ar-SA"/>
              </w:rPr>
              <w:t>з</w:t>
            </w:r>
            <w:r w:rsidRPr="00725EB1">
              <w:rPr>
                <w:rFonts w:ascii="Cambria" w:eastAsia="Times New Roman" w:hAnsi="Cambria" w:cs="Times New Roman"/>
                <w:i/>
                <w:sz w:val="23"/>
                <w:szCs w:val="23"/>
                <w:lang w:val="bg-BG" w:bidi="ar-SA"/>
              </w:rPr>
              <w:t xml:space="preserve">а </w:t>
            </w:r>
            <w:r w:rsidR="00222357" w:rsidRPr="00725EB1">
              <w:rPr>
                <w:rFonts w:ascii="Cambria" w:eastAsia="Times New Roman" w:hAnsi="Cambria" w:cs="Times New Roman"/>
                <w:i/>
                <w:sz w:val="23"/>
                <w:szCs w:val="23"/>
                <w:lang w:val="bg-BG" w:bidi="ar-SA"/>
              </w:rPr>
              <w:t>П</w:t>
            </w:r>
            <w:r w:rsidRPr="00725EB1">
              <w:rPr>
                <w:rFonts w:ascii="Cambria" w:eastAsia="Times New Roman" w:hAnsi="Cambria" w:cs="Times New Roman"/>
                <w:i/>
                <w:sz w:val="23"/>
                <w:szCs w:val="23"/>
                <w:lang w:val="bg-BG" w:bidi="ar-SA"/>
              </w:rPr>
              <w:t>ВУ</w:t>
            </w:r>
            <w:r w:rsidRPr="00725EB1">
              <w:rPr>
                <w:rFonts w:ascii="Cambria" w:eastAsia="Times New Roman" w:hAnsi="Cambria" w:cs="Times New Roman"/>
                <w:sz w:val="23"/>
                <w:szCs w:val="23"/>
                <w:lang w:val="bg-BG" w:bidi="ar-SA"/>
              </w:rPr>
              <w:t xml:space="preserve">] </w:t>
            </w:r>
            <w:r w:rsidRPr="00725EB1">
              <w:rPr>
                <w:rFonts w:ascii="Cambria" w:eastAsia="Times New Roman" w:hAnsi="Cambria" w:cs="Times New Roman"/>
                <w:sz w:val="23"/>
                <w:szCs w:val="23"/>
                <w:lang w:val="bg-BG" w:bidi="ar-SA"/>
              </w:rPr>
              <w:lastRenderedPageBreak/>
              <w:t>(„одобрената инвестиция“ или само „инвестицията“) от ПВУ, финансиран по МВУ, описана в Приложение І, с максимален размер, интензитет (процент) на съфинансиране и други условия, посочени в описанието на инвестицията, съставляващо  Приложение І към настоящия договор.</w:t>
            </w:r>
          </w:p>
        </w:tc>
      </w:tr>
      <w:tr w:rsidR="003456CB" w:rsidRPr="00725EB1" w14:paraId="221DA8F5" w14:textId="77777777" w:rsidTr="000D4FEF">
        <w:tc>
          <w:tcPr>
            <w:tcW w:w="568" w:type="dxa"/>
            <w:shd w:val="clear" w:color="auto" w:fill="auto"/>
          </w:tcPr>
          <w:p w14:paraId="68BF09EB" w14:textId="77777777" w:rsidR="003456CB" w:rsidRPr="00725EB1" w:rsidRDefault="003456CB" w:rsidP="003456CB">
            <w:pPr>
              <w:numPr>
                <w:ilvl w:val="0"/>
                <w:numId w:val="6"/>
              </w:numPr>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03EC7A54" w14:textId="77777777"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Безвъзмездното финансиране се предоставя съгласно условията на този договор и приложенията към него, които крайният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3456CB" w:rsidRPr="00725EB1" w14:paraId="578BEAA3" w14:textId="77777777" w:rsidTr="000D4FEF">
        <w:tc>
          <w:tcPr>
            <w:tcW w:w="568" w:type="dxa"/>
            <w:shd w:val="clear" w:color="auto" w:fill="auto"/>
          </w:tcPr>
          <w:p w14:paraId="66E77A92" w14:textId="77777777" w:rsidR="003456CB" w:rsidRPr="00725EB1" w:rsidRDefault="003456CB" w:rsidP="00222357">
            <w:pPr>
              <w:numPr>
                <w:ilvl w:val="0"/>
                <w:numId w:val="6"/>
              </w:numPr>
              <w:tabs>
                <w:tab w:val="left" w:pos="58"/>
              </w:tabs>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59561C63" w14:textId="77777777"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Окончателният размер на безвъзмездното финансиране се определя при спазване на разпоредбите на чл. 11 и чл.12  от Приложение II.</w:t>
            </w:r>
          </w:p>
        </w:tc>
      </w:tr>
    </w:tbl>
    <w:p w14:paraId="2DB565E7" w14:textId="77777777" w:rsidR="003456CB" w:rsidRPr="00725EB1" w:rsidRDefault="003456CB" w:rsidP="003456CB">
      <w:pPr>
        <w:spacing w:after="120" w:line="240" w:lineRule="auto"/>
        <w:jc w:val="both"/>
        <w:rPr>
          <w:rFonts w:ascii="Cambria" w:eastAsia="Times New Roman" w:hAnsi="Cambria" w:cs="Times New Roman"/>
          <w:sz w:val="23"/>
          <w:szCs w:val="23"/>
          <w:u w:val="single"/>
          <w:lang w:val="bg-BG" w:bidi="ar-SA"/>
        </w:rPr>
      </w:pPr>
    </w:p>
    <w:p w14:paraId="23131DF8" w14:textId="77777777" w:rsidR="003456CB" w:rsidRPr="00725EB1" w:rsidRDefault="003456CB" w:rsidP="003456CB">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2. Влизане в сила на договора и срок на изпълнение на инвестицията </w:t>
      </w:r>
    </w:p>
    <w:p w14:paraId="2F717EC6" w14:textId="69AE12E1" w:rsidR="003456CB" w:rsidRPr="00725EB1" w:rsidRDefault="003456CB" w:rsidP="003456CB">
      <w:pPr>
        <w:spacing w:after="120" w:line="240" w:lineRule="auto"/>
        <w:ind w:left="567" w:hanging="56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t xml:space="preserve">2.1. Настоящият договор влиза в сила от деня на </w:t>
      </w:r>
      <w:r w:rsidR="00222357" w:rsidRPr="00725EB1">
        <w:rPr>
          <w:rFonts w:ascii="Cambria" w:eastAsia="Times New Roman" w:hAnsi="Cambria" w:cs="Times New Roman"/>
          <w:sz w:val="23"/>
          <w:szCs w:val="23"/>
          <w:lang w:val="bg-BG" w:bidi="ar-SA"/>
        </w:rPr>
        <w:t>подписването му от двете страни или от датата на поставяне на последния подпис от страните.</w:t>
      </w:r>
    </w:p>
    <w:p w14:paraId="1221D482" w14:textId="77777777" w:rsidR="00237290" w:rsidRPr="00725EB1" w:rsidRDefault="003456CB" w:rsidP="00237290">
      <w:pPr>
        <w:spacing w:after="120" w:line="240" w:lineRule="auto"/>
        <w:ind w:left="567" w:hanging="2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2.2.  Срокът на изпълнение на инвестицията е </w:t>
      </w:r>
      <w:r w:rsidR="00222357" w:rsidRPr="00725EB1">
        <w:rPr>
          <w:rFonts w:ascii="Cambria" w:eastAsia="Times New Roman" w:hAnsi="Cambria" w:cs="Times New Roman"/>
          <w:sz w:val="23"/>
          <w:szCs w:val="23"/>
          <w:lang w:val="bg-BG" w:bidi="ar-SA"/>
        </w:rPr>
        <w:t>до 31.06.2026</w:t>
      </w:r>
      <w:r w:rsidRPr="00725EB1">
        <w:rPr>
          <w:rFonts w:ascii="Cambria" w:eastAsia="Times New Roman" w:hAnsi="Cambria" w:cs="Times New Roman"/>
          <w:sz w:val="23"/>
          <w:szCs w:val="23"/>
          <w:lang w:val="bg-BG" w:bidi="ar-SA"/>
        </w:rPr>
        <w:t xml:space="preserve"> г.</w:t>
      </w:r>
    </w:p>
    <w:p w14:paraId="67257DF1" w14:textId="36E22F08" w:rsidR="003456CB" w:rsidRPr="00725EB1" w:rsidRDefault="003456CB" w:rsidP="00237290">
      <w:pPr>
        <w:spacing w:after="120" w:line="240" w:lineRule="auto"/>
        <w:ind w:left="567" w:hanging="2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245D8615" w14:textId="77777777" w:rsidR="003456CB" w:rsidRPr="00725EB1" w:rsidRDefault="003456CB" w:rsidP="003456CB">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3. Държавна помощ</w:t>
      </w:r>
    </w:p>
    <w:tbl>
      <w:tblPr>
        <w:tblW w:w="9498" w:type="dxa"/>
        <w:tblInd w:w="108" w:type="dxa"/>
        <w:tblLook w:val="04A0" w:firstRow="1" w:lastRow="0" w:firstColumn="1" w:lastColumn="0" w:noHBand="0" w:noVBand="1"/>
      </w:tblPr>
      <w:tblGrid>
        <w:gridCol w:w="567"/>
        <w:gridCol w:w="8931"/>
      </w:tblGrid>
      <w:tr w:rsidR="003456CB" w:rsidRPr="00725EB1" w14:paraId="1CABD38C" w14:textId="77777777" w:rsidTr="003861B4">
        <w:tc>
          <w:tcPr>
            <w:tcW w:w="567" w:type="dxa"/>
            <w:shd w:val="clear" w:color="auto" w:fill="auto"/>
          </w:tcPr>
          <w:p w14:paraId="32ED8CF3" w14:textId="77777777" w:rsidR="003456CB" w:rsidRPr="00725EB1" w:rsidRDefault="003456CB" w:rsidP="00222357">
            <w:pPr>
              <w:numPr>
                <w:ilvl w:val="0"/>
                <w:numId w:val="7"/>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5E451E64" w14:textId="55BC9412" w:rsidR="00326847" w:rsidRPr="00725EB1" w:rsidRDefault="003456CB" w:rsidP="008F4B9E">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Безвъзмездното финансиране по този договор не представлява държавна помощ по см. на чл. 107, пар. 1 от Договора за функциониране на Европейския съюз.</w:t>
            </w:r>
          </w:p>
        </w:tc>
      </w:tr>
      <w:tr w:rsidR="003456CB" w:rsidRPr="00725EB1" w14:paraId="30FC3FB4" w14:textId="77777777" w:rsidTr="003861B4">
        <w:tc>
          <w:tcPr>
            <w:tcW w:w="567" w:type="dxa"/>
            <w:shd w:val="clear" w:color="auto" w:fill="auto"/>
          </w:tcPr>
          <w:p w14:paraId="06DF66F2" w14:textId="5F0F86D7" w:rsidR="003456CB" w:rsidRPr="00725EB1" w:rsidRDefault="003456CB" w:rsidP="003861B4">
            <w:pPr>
              <w:numPr>
                <w:ilvl w:val="0"/>
                <w:numId w:val="7"/>
              </w:numPr>
              <w:tabs>
                <w:tab w:val="left" w:pos="34"/>
              </w:tabs>
              <w:spacing w:after="120" w:line="240" w:lineRule="auto"/>
              <w:ind w:left="601"/>
              <w:rPr>
                <w:rFonts w:ascii="Cambria" w:eastAsia="Times New Roman" w:hAnsi="Cambria" w:cs="Times New Roman"/>
                <w:bCs/>
                <w:sz w:val="23"/>
                <w:szCs w:val="23"/>
                <w:lang w:val="bg-BG" w:bidi="ar-SA"/>
              </w:rPr>
            </w:pPr>
          </w:p>
        </w:tc>
        <w:tc>
          <w:tcPr>
            <w:tcW w:w="8931" w:type="dxa"/>
            <w:shd w:val="clear" w:color="auto" w:fill="auto"/>
          </w:tcPr>
          <w:p w14:paraId="437D1786" w14:textId="635DEA34" w:rsidR="003456CB" w:rsidRPr="00725EB1" w:rsidRDefault="00222357"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Безвъзмездното финансиране по този договор се реализира при спазване на условията на чл. 19 и чл. 21 от Рамката за държавна помощ за научни изследвания, развитие и иновации (C(2022) 7388 final /19.10.2022 г.).</w:t>
            </w:r>
          </w:p>
        </w:tc>
      </w:tr>
    </w:tbl>
    <w:p w14:paraId="5824B5EE" w14:textId="77777777" w:rsidR="003456CB" w:rsidRPr="00725EB1" w:rsidRDefault="003456CB" w:rsidP="003456CB">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4. Изисквания към изпълнението на инвестицията </w:t>
      </w:r>
    </w:p>
    <w:tbl>
      <w:tblPr>
        <w:tblW w:w="0" w:type="auto"/>
        <w:tblInd w:w="-34" w:type="dxa"/>
        <w:tblLook w:val="04A0" w:firstRow="1" w:lastRow="0" w:firstColumn="1" w:lastColumn="0" w:noHBand="0" w:noVBand="1"/>
      </w:tblPr>
      <w:tblGrid>
        <w:gridCol w:w="568"/>
        <w:gridCol w:w="8930"/>
      </w:tblGrid>
      <w:tr w:rsidR="003456CB" w:rsidRPr="00725EB1" w14:paraId="26B2A1F1" w14:textId="77777777" w:rsidTr="000D4FEF">
        <w:tc>
          <w:tcPr>
            <w:tcW w:w="568" w:type="dxa"/>
            <w:shd w:val="clear" w:color="auto" w:fill="auto"/>
          </w:tcPr>
          <w:p w14:paraId="136447A0" w14:textId="77777777" w:rsidR="003456CB" w:rsidRPr="00725EB1" w:rsidRDefault="003456CB" w:rsidP="003456CB">
            <w:pPr>
              <w:numPr>
                <w:ilvl w:val="0"/>
                <w:numId w:val="8"/>
              </w:numPr>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091C88A4" w14:textId="1AFF1005" w:rsidR="003456CB" w:rsidRPr="00725EB1" w:rsidRDefault="003456CB" w:rsidP="003861B4">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Крайният получател изпълнява инвестицията съгласно описанието на одобрената инвестиция (формуляр за кандидатстване ведно с приложенията към него), представляващо Приложение І към договора, заведено в ИС на МВУ под номер [</w:t>
            </w:r>
            <w:r w:rsidRPr="00725EB1">
              <w:rPr>
                <w:rFonts w:ascii="Cambria" w:eastAsia="Times New Roman" w:hAnsi="Cambria" w:cs="Times New Roman"/>
                <w:i/>
                <w:sz w:val="23"/>
                <w:szCs w:val="23"/>
                <w:lang w:val="bg-BG" w:bidi="ar-SA"/>
              </w:rPr>
              <w:t xml:space="preserve">номер от ИС </w:t>
            </w:r>
            <w:r w:rsidR="003861B4" w:rsidRPr="00725EB1">
              <w:rPr>
                <w:rFonts w:ascii="Cambria" w:eastAsia="Times New Roman" w:hAnsi="Cambria" w:cs="Times New Roman"/>
                <w:i/>
                <w:sz w:val="23"/>
                <w:szCs w:val="23"/>
                <w:lang w:val="bg-BG" w:bidi="ar-SA"/>
              </w:rPr>
              <w:t>з</w:t>
            </w:r>
            <w:r w:rsidRPr="00725EB1">
              <w:rPr>
                <w:rFonts w:ascii="Cambria" w:eastAsia="Times New Roman" w:hAnsi="Cambria" w:cs="Times New Roman"/>
                <w:i/>
                <w:sz w:val="23"/>
                <w:szCs w:val="23"/>
                <w:lang w:val="bg-BG" w:bidi="ar-SA"/>
              </w:rPr>
              <w:t xml:space="preserve">а </w:t>
            </w:r>
            <w:r w:rsidR="003861B4" w:rsidRPr="00725EB1">
              <w:rPr>
                <w:rFonts w:ascii="Cambria" w:eastAsia="Times New Roman" w:hAnsi="Cambria" w:cs="Times New Roman"/>
                <w:i/>
                <w:sz w:val="23"/>
                <w:szCs w:val="23"/>
                <w:lang w:val="bg-BG" w:bidi="ar-SA"/>
              </w:rPr>
              <w:t>П</w:t>
            </w:r>
            <w:r w:rsidRPr="00725EB1">
              <w:rPr>
                <w:rFonts w:ascii="Cambria" w:eastAsia="Times New Roman" w:hAnsi="Cambria" w:cs="Times New Roman"/>
                <w:i/>
                <w:sz w:val="23"/>
                <w:szCs w:val="23"/>
                <w:lang w:val="bg-BG" w:bidi="ar-SA"/>
              </w:rPr>
              <w:t>ВУ</w:t>
            </w:r>
            <w:r w:rsidRPr="00725EB1">
              <w:rPr>
                <w:rFonts w:ascii="Cambria" w:eastAsia="Times New Roman" w:hAnsi="Cambria" w:cs="Times New Roman"/>
                <w:sz w:val="23"/>
                <w:szCs w:val="23"/>
                <w:lang w:val="bg-BG" w:bidi="ar-SA"/>
              </w:rPr>
              <w:t>], Поканата за кандидатстване и клаузите на настоящия договор.</w:t>
            </w:r>
          </w:p>
        </w:tc>
      </w:tr>
      <w:tr w:rsidR="003456CB" w:rsidRPr="00725EB1" w14:paraId="5FCCC363" w14:textId="77777777" w:rsidTr="000D4FEF">
        <w:tc>
          <w:tcPr>
            <w:tcW w:w="568" w:type="dxa"/>
            <w:shd w:val="clear" w:color="auto" w:fill="auto"/>
          </w:tcPr>
          <w:p w14:paraId="2DFB7464" w14:textId="77777777" w:rsidR="003456CB" w:rsidRPr="00725EB1" w:rsidRDefault="003456CB" w:rsidP="003456CB">
            <w:pPr>
              <w:numPr>
                <w:ilvl w:val="0"/>
                <w:numId w:val="8"/>
              </w:numPr>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22ACF201" w14:textId="77777777"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725EB1">
              <w:rPr>
                <w:rFonts w:ascii="Cambria" w:eastAsia="Times New Roman" w:hAnsi="Cambria" w:cs="Times New Roman"/>
                <w:i/>
                <w:iCs/>
                <w:sz w:val="23"/>
                <w:szCs w:val="23"/>
                <w:lang w:val="bg-BG" w:bidi="ar-SA"/>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725EB1">
              <w:rPr>
                <w:rFonts w:ascii="Cambria" w:eastAsia="Times New Roman" w:hAnsi="Cambria" w:cs="Times New Roman"/>
                <w:sz w:val="23"/>
                <w:szCs w:val="23"/>
                <w:lang w:val="bg-BG" w:bidi="ar-SA"/>
              </w:rPr>
              <w:t>, Ръководството за изпълнение на инвестициите, както и в текущите оперативни указания на СНД, публикувани на официалната й интернет-страница.</w:t>
            </w:r>
          </w:p>
        </w:tc>
      </w:tr>
      <w:tr w:rsidR="003456CB" w:rsidRPr="00725EB1" w14:paraId="18982596" w14:textId="77777777" w:rsidTr="000D4FEF">
        <w:tc>
          <w:tcPr>
            <w:tcW w:w="568" w:type="dxa"/>
            <w:shd w:val="clear" w:color="auto" w:fill="auto"/>
          </w:tcPr>
          <w:p w14:paraId="4D70A18E" w14:textId="77777777" w:rsidR="003456CB" w:rsidRPr="00725EB1" w:rsidRDefault="003456CB" w:rsidP="003456CB">
            <w:pPr>
              <w:numPr>
                <w:ilvl w:val="0"/>
                <w:numId w:val="8"/>
              </w:numPr>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74F29056" w14:textId="609D9881" w:rsidR="003456CB" w:rsidRPr="00725EB1" w:rsidRDefault="003861B4"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Крайният получател отговаря за изпълнението на инвестицията при спазване на принципите на добро финансово управление, приложимото законодателство и условията на настоящия договор и приложенията към него.</w:t>
            </w:r>
          </w:p>
        </w:tc>
      </w:tr>
      <w:tr w:rsidR="003861B4" w:rsidRPr="00725EB1" w14:paraId="1A857F76" w14:textId="77777777" w:rsidTr="000D4FEF">
        <w:tc>
          <w:tcPr>
            <w:tcW w:w="568" w:type="dxa"/>
            <w:shd w:val="clear" w:color="auto" w:fill="auto"/>
          </w:tcPr>
          <w:p w14:paraId="538150B4" w14:textId="77777777" w:rsidR="003861B4" w:rsidRPr="00725EB1" w:rsidRDefault="003861B4" w:rsidP="003456CB">
            <w:pPr>
              <w:numPr>
                <w:ilvl w:val="0"/>
                <w:numId w:val="8"/>
              </w:numPr>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0A01F32C" w14:textId="77777777" w:rsidR="003861B4" w:rsidRPr="00725EB1" w:rsidRDefault="003861B4"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Освен задълженията и отговорностите по т. 4.3, КП се задължава да:</w:t>
            </w:r>
          </w:p>
          <w:p w14:paraId="574D1C26" w14:textId="77777777" w:rsidR="003861B4" w:rsidRPr="00725EB1" w:rsidRDefault="003861B4" w:rsidP="003861B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4.4.1. сключи договори за изпълнение на дейностите по инвестицията;</w:t>
            </w:r>
          </w:p>
          <w:p w14:paraId="443DC834" w14:textId="77777777" w:rsidR="003861B4" w:rsidRPr="00725EB1" w:rsidRDefault="003861B4" w:rsidP="003861B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4.4.2. осъществява контрол върху изпълнението на сключените договори;</w:t>
            </w:r>
          </w:p>
          <w:p w14:paraId="11364A09" w14:textId="77777777" w:rsidR="003861B4" w:rsidRPr="00725EB1" w:rsidRDefault="003861B4" w:rsidP="003861B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4.4.3. осигурява информацията, съгласно чл. 22, параграф 2, буква „г" от Регламент </w:t>
            </w:r>
            <w:r w:rsidRPr="00725EB1">
              <w:rPr>
                <w:rFonts w:ascii="Cambria" w:eastAsia="Times New Roman" w:hAnsi="Cambria" w:cs="Times New Roman"/>
                <w:sz w:val="23"/>
                <w:szCs w:val="23"/>
                <w:lang w:val="bg-BG" w:bidi="ar-SA"/>
              </w:rPr>
              <w:lastRenderedPageBreak/>
              <w:t>(ЕС) 2021/241;</w:t>
            </w:r>
          </w:p>
          <w:p w14:paraId="6AC2F842" w14:textId="77777777" w:rsidR="003861B4" w:rsidRPr="00725EB1" w:rsidRDefault="003861B4" w:rsidP="003861B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4.4.4. осигурява одитна следа;</w:t>
            </w:r>
          </w:p>
          <w:p w14:paraId="54BAF6A2" w14:textId="77777777" w:rsidR="003861B4" w:rsidRPr="00725EB1" w:rsidRDefault="003861B4" w:rsidP="003861B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4.4.5. представя в ИС за ПВУ финансово-технически отчети;</w:t>
            </w:r>
          </w:p>
          <w:p w14:paraId="23948BF4" w14:textId="77777777" w:rsidR="003861B4" w:rsidRPr="00725EB1" w:rsidRDefault="003861B4" w:rsidP="003861B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4.4.6. осигурява аналитична счетоводна отчетност за всички разходи и извършени плащания по инвестицията, за вземанията и задълженията, както и съпоставимост с финансовата информация, която се посочва във финансово-техническия отчет;</w:t>
            </w:r>
          </w:p>
          <w:p w14:paraId="14C9E716" w14:textId="77777777" w:rsidR="003861B4" w:rsidRPr="00725EB1" w:rsidRDefault="003861B4" w:rsidP="003861B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4.4.7. осигурява достъп до документи и на мястото на изпълнение на инвестициите на национални и европейски контролни и одитни органи, включително структурата за наблюдение и докладване или структурата за наблюдение на Европейската комисия, на Европейската сметна палата, на Европейската служба за борба с измамите и на Европейската прокуратура;</w:t>
            </w:r>
          </w:p>
          <w:p w14:paraId="20B2E97F" w14:textId="77777777" w:rsidR="003861B4" w:rsidRPr="00725EB1" w:rsidRDefault="003861B4" w:rsidP="003861B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4.4.8. идентифицира и предприема действия за намаляване на рисковете за изпълнение на мерките;</w:t>
            </w:r>
          </w:p>
          <w:p w14:paraId="2301E39B" w14:textId="0AB470F3" w:rsidR="003861B4" w:rsidRPr="00725EB1" w:rsidRDefault="003861B4" w:rsidP="003861B4">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4.4.9. спазва принципа за „ненанасяне на значителни вреди" при изпълнението на мерките, включително при възлагането на обществени поръчки.</w:t>
            </w:r>
          </w:p>
        </w:tc>
      </w:tr>
      <w:tr w:rsidR="003861B4" w:rsidRPr="00725EB1" w14:paraId="6C1D6BB2" w14:textId="77777777" w:rsidTr="000D4FEF">
        <w:tc>
          <w:tcPr>
            <w:tcW w:w="568" w:type="dxa"/>
            <w:shd w:val="clear" w:color="auto" w:fill="auto"/>
          </w:tcPr>
          <w:p w14:paraId="439112DF" w14:textId="77777777" w:rsidR="003861B4" w:rsidRPr="00725EB1" w:rsidRDefault="003861B4" w:rsidP="003456CB">
            <w:pPr>
              <w:numPr>
                <w:ilvl w:val="0"/>
                <w:numId w:val="8"/>
              </w:numPr>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2F8DC077" w14:textId="48346E85" w:rsidR="003861B4" w:rsidRPr="00725EB1" w:rsidRDefault="003861B4"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Крайният получател регулярно въвежда информация в ИС за ПВУ за сключените от него договори с изпълнители, както и за всички участници в обединение и за изпълнители или подизпълнители по договор, съобразно изискванията на утвърденото Ръководство за изпълнение и отчитане на инвестициите. Крайният получател се задължава да потвърждава наличието и достоверността на информацията, изискваща се съгласно чл. 22, параграф 2, б. „г“ от Регламент (ЕС) 2021/241.</w:t>
            </w:r>
          </w:p>
        </w:tc>
      </w:tr>
      <w:tr w:rsidR="003456CB" w:rsidRPr="00725EB1" w14:paraId="72B42B18" w14:textId="77777777" w:rsidTr="000D4FEF">
        <w:tc>
          <w:tcPr>
            <w:tcW w:w="568" w:type="dxa"/>
            <w:shd w:val="clear" w:color="auto" w:fill="auto"/>
          </w:tcPr>
          <w:p w14:paraId="1FE6A62A" w14:textId="77777777" w:rsidR="003456CB" w:rsidRPr="00725EB1" w:rsidRDefault="003456CB" w:rsidP="003456CB">
            <w:pPr>
              <w:numPr>
                <w:ilvl w:val="0"/>
                <w:numId w:val="8"/>
              </w:numPr>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6E815559" w14:textId="77777777"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съответствието с приложимите за това правила.</w:t>
            </w:r>
          </w:p>
        </w:tc>
      </w:tr>
    </w:tbl>
    <w:p w14:paraId="04E629FD" w14:textId="77777777" w:rsidR="003456CB" w:rsidRPr="00725EB1" w:rsidRDefault="003456CB" w:rsidP="003456CB">
      <w:pPr>
        <w:spacing w:after="120" w:line="240" w:lineRule="auto"/>
        <w:ind w:left="567" w:hanging="567"/>
        <w:jc w:val="both"/>
        <w:rPr>
          <w:rFonts w:ascii="Cambria" w:eastAsia="Times New Roman" w:hAnsi="Cambria" w:cs="Times New Roman"/>
          <w:b/>
          <w:sz w:val="23"/>
          <w:szCs w:val="23"/>
          <w:lang w:val="bg-BG" w:bidi="ar-SA"/>
        </w:rPr>
      </w:pPr>
    </w:p>
    <w:p w14:paraId="0CE5828A" w14:textId="77777777" w:rsidR="003456CB" w:rsidRPr="00725EB1" w:rsidRDefault="003456CB" w:rsidP="003456CB">
      <w:pPr>
        <w:spacing w:after="120" w:line="240" w:lineRule="auto"/>
        <w:ind w:left="567" w:hanging="567"/>
        <w:jc w:val="both"/>
        <w:rPr>
          <w:rFonts w:ascii="Cambria" w:eastAsia="Times New Roman" w:hAnsi="Cambria" w:cs="Times New Roman"/>
          <w:sz w:val="23"/>
          <w:szCs w:val="23"/>
          <w:lang w:val="bg-BG" w:bidi="ar-SA"/>
        </w:rPr>
      </w:pPr>
      <w:r w:rsidRPr="00725EB1">
        <w:rPr>
          <w:rFonts w:ascii="Cambria" w:eastAsia="Times New Roman" w:hAnsi="Cambria" w:cs="Times New Roman"/>
          <w:b/>
          <w:sz w:val="23"/>
          <w:szCs w:val="23"/>
          <w:lang w:val="bg-BG" w:bidi="ar-SA"/>
        </w:rPr>
        <w:t xml:space="preserve">Член 5. Индикатори, чието неизпълнение се счита за пълно или частично неизпълнение на инвестицията </w:t>
      </w:r>
    </w:p>
    <w:tbl>
      <w:tblPr>
        <w:tblW w:w="0" w:type="auto"/>
        <w:tblInd w:w="-34" w:type="dxa"/>
        <w:tblLook w:val="04A0" w:firstRow="1" w:lastRow="0" w:firstColumn="1" w:lastColumn="0" w:noHBand="0" w:noVBand="1"/>
      </w:tblPr>
      <w:tblGrid>
        <w:gridCol w:w="568"/>
        <w:gridCol w:w="8930"/>
      </w:tblGrid>
      <w:tr w:rsidR="003456CB" w:rsidRPr="00725EB1" w14:paraId="06B7BFF1" w14:textId="77777777" w:rsidTr="000D4FEF">
        <w:tc>
          <w:tcPr>
            <w:tcW w:w="568" w:type="dxa"/>
            <w:shd w:val="clear" w:color="auto" w:fill="auto"/>
          </w:tcPr>
          <w:p w14:paraId="5BCDA160" w14:textId="77777777" w:rsidR="003456CB" w:rsidRPr="00725EB1" w:rsidRDefault="003456CB" w:rsidP="003456CB">
            <w:pPr>
              <w:numPr>
                <w:ilvl w:val="0"/>
                <w:numId w:val="9"/>
              </w:numPr>
              <w:spacing w:after="120" w:line="240" w:lineRule="auto"/>
              <w:rPr>
                <w:rFonts w:ascii="Cambria" w:eastAsia="Times New Roman" w:hAnsi="Cambria" w:cs="Times New Roman"/>
                <w:bCs/>
                <w:sz w:val="23"/>
                <w:szCs w:val="23"/>
                <w:lang w:val="bg-BG" w:bidi="ar-SA"/>
              </w:rPr>
            </w:pPr>
          </w:p>
        </w:tc>
        <w:tc>
          <w:tcPr>
            <w:tcW w:w="8930" w:type="dxa"/>
            <w:shd w:val="clear" w:color="auto" w:fill="auto"/>
          </w:tcPr>
          <w:p w14:paraId="7AB4D762" w14:textId="5B696E07" w:rsidR="003456CB" w:rsidRPr="00725EB1" w:rsidRDefault="003456CB" w:rsidP="00053DE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Неизпълнението или неотчитането по предвидения ред от крайния получател на </w:t>
            </w:r>
            <w:r w:rsidR="00047138" w:rsidRPr="00725EB1">
              <w:rPr>
                <w:rFonts w:ascii="Cambria" w:eastAsia="Times New Roman" w:hAnsi="Cambria" w:cs="Times New Roman"/>
                <w:bCs/>
                <w:sz w:val="23"/>
                <w:szCs w:val="23"/>
                <w:lang w:val="bg-BG" w:bidi="ar-SA"/>
              </w:rPr>
              <w:t>ключовия етап</w:t>
            </w:r>
            <w:r w:rsidR="00053DEB" w:rsidRPr="00725EB1">
              <w:rPr>
                <w:rFonts w:ascii="Cambria" w:eastAsia="Times New Roman" w:hAnsi="Cambria" w:cs="Times New Roman"/>
                <w:bCs/>
                <w:sz w:val="23"/>
                <w:szCs w:val="23"/>
                <w:lang w:val="bg-BG" w:bidi="ar-SA"/>
              </w:rPr>
              <w:t xml:space="preserve"> (качествен индикатор)</w:t>
            </w:r>
            <w:r w:rsidR="00047138" w:rsidRPr="00725EB1">
              <w:rPr>
                <w:rFonts w:ascii="Cambria" w:eastAsia="Times New Roman" w:hAnsi="Cambria" w:cs="Times New Roman"/>
                <w:bCs/>
                <w:sz w:val="23"/>
                <w:szCs w:val="23"/>
                <w:lang w:val="bg-BG" w:bidi="ar-SA"/>
              </w:rPr>
              <w:t xml:space="preserve"> </w:t>
            </w:r>
            <w:r w:rsidR="00053DEB" w:rsidRPr="00725EB1">
              <w:rPr>
                <w:rFonts w:ascii="Cambria" w:eastAsia="Times New Roman" w:hAnsi="Cambria" w:cs="Times New Roman"/>
                <w:bCs/>
                <w:sz w:val="23"/>
                <w:szCs w:val="23"/>
                <w:lang w:val="bg-BG" w:bidi="ar-SA"/>
              </w:rPr>
              <w:t>„</w:t>
            </w:r>
            <w:r w:rsidR="00047138" w:rsidRPr="00725EB1">
              <w:rPr>
                <w:rFonts w:ascii="Cambria" w:eastAsia="Times New Roman" w:hAnsi="Cambria" w:cs="Times New Roman"/>
                <w:bCs/>
                <w:i/>
                <w:iCs/>
                <w:sz w:val="23"/>
                <w:szCs w:val="23"/>
                <w:lang w:val="bg-BG" w:bidi="ar-SA"/>
              </w:rPr>
              <w:t>Модернизиран Единен център за иновации на Българската академия на науките</w:t>
            </w:r>
            <w:r w:rsidR="00053DEB" w:rsidRPr="00725EB1">
              <w:rPr>
                <w:rFonts w:ascii="Cambria" w:eastAsia="Times New Roman" w:hAnsi="Cambria" w:cs="Times New Roman"/>
                <w:bCs/>
                <w:i/>
                <w:iCs/>
                <w:sz w:val="23"/>
                <w:szCs w:val="23"/>
                <w:lang w:val="bg-BG" w:bidi="ar-SA"/>
              </w:rPr>
              <w:t>“</w:t>
            </w:r>
            <w:r w:rsidRPr="00725EB1">
              <w:rPr>
                <w:rFonts w:ascii="Cambria" w:eastAsia="Times New Roman" w:hAnsi="Cambria" w:cs="Times New Roman"/>
                <w:bCs/>
                <w:sz w:val="23"/>
                <w:szCs w:val="23"/>
                <w:lang w:val="bg-BG" w:bidi="ar-SA"/>
              </w:rPr>
              <w:t xml:space="preserve">, посочен в </w:t>
            </w:r>
            <w:r w:rsidR="00053DEB" w:rsidRPr="00725EB1">
              <w:rPr>
                <w:rFonts w:ascii="Cambria" w:eastAsia="Times New Roman" w:hAnsi="Cambria" w:cs="Times New Roman"/>
                <w:bCs/>
                <w:sz w:val="23"/>
                <w:szCs w:val="23"/>
                <w:lang w:val="bg-BG" w:bidi="ar-SA"/>
              </w:rPr>
              <w:t>т. 5.2</w:t>
            </w:r>
            <w:r w:rsidRPr="00725EB1">
              <w:rPr>
                <w:rFonts w:ascii="Cambria" w:eastAsia="Times New Roman" w:hAnsi="Cambria" w:cs="Times New Roman"/>
                <w:bCs/>
                <w:sz w:val="23"/>
                <w:szCs w:val="23"/>
                <w:lang w:val="bg-BG" w:bidi="ar-SA"/>
              </w:rPr>
              <w:t xml:space="preserve"> на Приложение І, дава право на Ръководителят на СНД да изиска от крайния получател цялостно или частично възстановяване на полученото безвъзмездно финансиране съобразно степента на неизпълнение на индикатора и причините за това по реда и условията на чл. 11.4 – 11.5 от Общите условия на договора – Приложение ІІ. </w:t>
            </w:r>
          </w:p>
        </w:tc>
      </w:tr>
    </w:tbl>
    <w:p w14:paraId="76AED7F5" w14:textId="77777777" w:rsidR="00053DEB" w:rsidRPr="00725EB1" w:rsidRDefault="00053DEB" w:rsidP="003456CB">
      <w:pPr>
        <w:spacing w:after="120" w:line="240" w:lineRule="auto"/>
        <w:jc w:val="both"/>
        <w:rPr>
          <w:rFonts w:ascii="Cambria" w:eastAsia="Times New Roman" w:hAnsi="Cambria" w:cs="Times New Roman"/>
          <w:bCs/>
          <w:sz w:val="23"/>
          <w:szCs w:val="23"/>
          <w:lang w:val="bg-BG" w:bidi="ar-SA"/>
        </w:rPr>
      </w:pPr>
    </w:p>
    <w:p w14:paraId="2CB2A436" w14:textId="77777777" w:rsidR="003456CB" w:rsidRPr="00725EB1" w:rsidRDefault="003456CB" w:rsidP="003456CB">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6. Цена и Условия за плащане </w:t>
      </w:r>
    </w:p>
    <w:p w14:paraId="5C528801" w14:textId="77777777" w:rsidR="003456CB" w:rsidRPr="00725EB1" w:rsidRDefault="003456CB" w:rsidP="003456CB">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b/>
          <w:sz w:val="24"/>
          <w:szCs w:val="24"/>
          <w:lang w:val="bg-BG" w:bidi="ar-SA"/>
        </w:rPr>
        <w:t xml:space="preserve">Финансиране </w:t>
      </w:r>
    </w:p>
    <w:p w14:paraId="079EE5C8" w14:textId="77777777" w:rsidR="003456CB" w:rsidRPr="00725EB1" w:rsidRDefault="003456CB" w:rsidP="003456CB">
      <w:pPr>
        <w:spacing w:after="0" w:line="240" w:lineRule="auto"/>
        <w:ind w:left="567"/>
        <w:jc w:val="both"/>
        <w:rPr>
          <w:rFonts w:ascii="Times New Roman" w:eastAsia="Times New Roman" w:hAnsi="Times New Roman" w:cs="Times New Roman"/>
          <w:sz w:val="24"/>
          <w:szCs w:val="24"/>
          <w:lang w:val="bg-BG" w:bidi="ar-SA"/>
        </w:rPr>
      </w:pPr>
    </w:p>
    <w:tbl>
      <w:tblPr>
        <w:tblW w:w="9604" w:type="dxa"/>
        <w:tblInd w:w="-34" w:type="dxa"/>
        <w:tblLayout w:type="fixed"/>
        <w:tblLook w:val="04A0" w:firstRow="1" w:lastRow="0" w:firstColumn="1" w:lastColumn="0" w:noHBand="0" w:noVBand="1"/>
      </w:tblPr>
      <w:tblGrid>
        <w:gridCol w:w="709"/>
        <w:gridCol w:w="8895"/>
      </w:tblGrid>
      <w:tr w:rsidR="00E242B6" w:rsidRPr="00725EB1" w14:paraId="145EF489" w14:textId="77777777" w:rsidTr="00725EB1">
        <w:tc>
          <w:tcPr>
            <w:tcW w:w="709" w:type="dxa"/>
            <w:shd w:val="clear" w:color="auto" w:fill="auto"/>
          </w:tcPr>
          <w:p w14:paraId="1817095E" w14:textId="4CBB61A2" w:rsidR="00E242B6" w:rsidRPr="00725EB1" w:rsidRDefault="00E242B6" w:rsidP="00E242B6">
            <w:pPr>
              <w:pStyle w:val="ListParagraph"/>
              <w:numPr>
                <w:ilvl w:val="0"/>
                <w:numId w:val="1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46CF28D9" w14:textId="75B36A8D" w:rsidR="00E242B6" w:rsidRPr="00725EB1" w:rsidRDefault="003C277B" w:rsidP="003456CB">
            <w:pPr>
              <w:spacing w:after="120" w:line="240" w:lineRule="auto"/>
              <w:jc w:val="both"/>
              <w:rPr>
                <w:rFonts w:ascii="Cambria" w:eastAsia="Times New Roman" w:hAnsi="Cambria" w:cs="Times New Roman"/>
                <w:sz w:val="23"/>
                <w:szCs w:val="23"/>
                <w:lang w:val="bg-BG" w:bidi="ar-SA"/>
              </w:rPr>
            </w:pPr>
            <w:r w:rsidRPr="00725EB1">
              <w:rPr>
                <w:rFonts w:ascii="Times New Roman" w:eastAsia="Times New Roman" w:hAnsi="Times New Roman" w:cs="Times New Roman"/>
                <w:sz w:val="24"/>
                <w:szCs w:val="24"/>
                <w:lang w:val="bg-BG" w:bidi="ar-SA"/>
              </w:rPr>
              <w:t xml:space="preserve">Максималният размер на общо допустимите разходи по Инвестицията възлиза на </w:t>
            </w:r>
            <w:r w:rsidRPr="00725EB1">
              <w:rPr>
                <w:rFonts w:ascii="Cambria" w:hAnsi="Cambria"/>
                <w:bCs/>
                <w:sz w:val="24"/>
                <w:szCs w:val="24"/>
                <w:lang w:val="bg-BG"/>
              </w:rPr>
              <w:t xml:space="preserve"> ............ лв. </w:t>
            </w:r>
            <w:r w:rsidRPr="00725EB1">
              <w:rPr>
                <w:rFonts w:ascii="Cambria" w:hAnsi="Cambria"/>
                <w:bCs/>
                <w:sz w:val="24"/>
                <w:szCs w:val="24"/>
                <w:lang w:val="en-GB"/>
              </w:rPr>
              <w:t>[</w:t>
            </w:r>
            <w:proofErr w:type="gramStart"/>
            <w:r w:rsidRPr="00725EB1">
              <w:rPr>
                <w:rFonts w:ascii="Cambria" w:hAnsi="Cambria"/>
                <w:bCs/>
                <w:i/>
                <w:sz w:val="24"/>
                <w:szCs w:val="24"/>
                <w:lang w:val="bg-BG"/>
              </w:rPr>
              <w:t>словом</w:t>
            </w:r>
            <w:proofErr w:type="gramEnd"/>
            <w:r w:rsidRPr="00725EB1">
              <w:rPr>
                <w:rFonts w:ascii="Cambria" w:hAnsi="Cambria"/>
                <w:bCs/>
                <w:i/>
                <w:sz w:val="24"/>
                <w:szCs w:val="24"/>
                <w:lang w:val="bg-BG"/>
              </w:rPr>
              <w:t xml:space="preserve"> в лева</w:t>
            </w:r>
            <w:r w:rsidRPr="00725EB1">
              <w:rPr>
                <w:rFonts w:ascii="Cambria" w:hAnsi="Cambria"/>
                <w:bCs/>
                <w:sz w:val="24"/>
                <w:szCs w:val="24"/>
                <w:lang w:val="en-GB"/>
              </w:rPr>
              <w:t>]</w:t>
            </w:r>
            <w:r w:rsidRPr="00725EB1">
              <w:rPr>
                <w:rFonts w:ascii="Cambria" w:hAnsi="Cambria"/>
                <w:bCs/>
                <w:sz w:val="24"/>
                <w:szCs w:val="24"/>
                <w:lang w:val="bg-BG"/>
              </w:rPr>
              <w:t xml:space="preserve">, от които преки разходи в размер на </w:t>
            </w:r>
            <w:r w:rsidRPr="00725EB1">
              <w:rPr>
                <w:rFonts w:ascii="Cambria" w:hAnsi="Cambria"/>
                <w:bCs/>
                <w:sz w:val="24"/>
                <w:szCs w:val="24"/>
                <w:lang w:val="en-GB"/>
              </w:rPr>
              <w:t>………………</w:t>
            </w:r>
            <w:r w:rsidRPr="00725EB1">
              <w:rPr>
                <w:rFonts w:ascii="Cambria" w:hAnsi="Cambria"/>
                <w:bCs/>
                <w:sz w:val="24"/>
                <w:szCs w:val="24"/>
                <w:lang w:val="bg-BG"/>
              </w:rPr>
              <w:t xml:space="preserve"> лв. </w:t>
            </w:r>
            <w:r w:rsidRPr="00725EB1">
              <w:rPr>
                <w:rFonts w:ascii="Cambria" w:hAnsi="Cambria"/>
                <w:bCs/>
                <w:sz w:val="24"/>
                <w:szCs w:val="24"/>
                <w:lang w:val="ru-RU"/>
              </w:rPr>
              <w:t>[</w:t>
            </w:r>
            <w:r w:rsidRPr="00725EB1">
              <w:rPr>
                <w:rFonts w:ascii="Cambria" w:hAnsi="Cambria"/>
                <w:bCs/>
                <w:i/>
                <w:sz w:val="24"/>
                <w:szCs w:val="24"/>
                <w:lang w:val="bg-BG"/>
              </w:rPr>
              <w:t>словом в лева</w:t>
            </w:r>
            <w:r w:rsidRPr="00725EB1">
              <w:rPr>
                <w:rFonts w:ascii="Cambria" w:hAnsi="Cambria"/>
                <w:bCs/>
                <w:sz w:val="24"/>
                <w:szCs w:val="24"/>
                <w:lang w:val="ru-RU"/>
              </w:rPr>
              <w:t xml:space="preserve">] </w:t>
            </w:r>
            <w:r w:rsidRPr="00725EB1">
              <w:rPr>
                <w:rFonts w:ascii="Cambria" w:hAnsi="Cambria"/>
                <w:bCs/>
                <w:sz w:val="24"/>
                <w:szCs w:val="24"/>
                <w:lang w:val="bg-BG"/>
              </w:rPr>
              <w:t xml:space="preserve">и непреки разходи </w:t>
            </w:r>
            <w:r w:rsidR="00482E11" w:rsidRPr="00725EB1">
              <w:rPr>
                <w:rFonts w:ascii="Cambria" w:hAnsi="Cambria"/>
                <w:bCs/>
                <w:sz w:val="24"/>
                <w:szCs w:val="24"/>
                <w:lang w:val="en-GB"/>
              </w:rPr>
              <w:t xml:space="preserve">………………..  </w:t>
            </w:r>
            <w:r w:rsidR="00482E11" w:rsidRPr="00725EB1">
              <w:rPr>
                <w:rFonts w:ascii="Cambria" w:hAnsi="Cambria"/>
                <w:bCs/>
                <w:sz w:val="24"/>
                <w:szCs w:val="24"/>
                <w:lang w:val="bg-BG"/>
              </w:rPr>
              <w:t xml:space="preserve">лв. </w:t>
            </w:r>
            <w:r w:rsidR="00482E11" w:rsidRPr="00725EB1">
              <w:rPr>
                <w:rFonts w:ascii="Cambria" w:hAnsi="Cambria"/>
                <w:bCs/>
                <w:sz w:val="24"/>
                <w:szCs w:val="24"/>
                <w:lang w:val="en-GB"/>
              </w:rPr>
              <w:t>[</w:t>
            </w:r>
            <w:r w:rsidR="00482E11" w:rsidRPr="00725EB1">
              <w:rPr>
                <w:rFonts w:ascii="Cambria" w:hAnsi="Cambria"/>
                <w:bCs/>
                <w:i/>
                <w:sz w:val="24"/>
                <w:szCs w:val="24"/>
                <w:lang w:val="bg-BG"/>
              </w:rPr>
              <w:t>словом в лева</w:t>
            </w:r>
            <w:r w:rsidR="00482E11" w:rsidRPr="00725EB1">
              <w:rPr>
                <w:rFonts w:ascii="Cambria" w:hAnsi="Cambria"/>
                <w:bCs/>
                <w:sz w:val="24"/>
                <w:szCs w:val="24"/>
                <w:lang w:val="en-GB"/>
              </w:rPr>
              <w:t>]</w:t>
            </w:r>
            <w:r w:rsidR="00482E11" w:rsidRPr="00725EB1">
              <w:rPr>
                <w:rFonts w:ascii="Cambria" w:hAnsi="Cambria"/>
                <w:bCs/>
                <w:sz w:val="24"/>
                <w:szCs w:val="24"/>
                <w:lang w:val="bg-BG"/>
              </w:rPr>
              <w:t xml:space="preserve"> (</w:t>
            </w:r>
            <w:r w:rsidRPr="00725EB1">
              <w:rPr>
                <w:rFonts w:ascii="Cambria" w:hAnsi="Cambria"/>
                <w:bCs/>
                <w:sz w:val="24"/>
                <w:szCs w:val="24"/>
                <w:lang w:val="bg-BG"/>
              </w:rPr>
              <w:t>до 3% от стойността на преките раз</w:t>
            </w:r>
            <w:r w:rsidR="000B67C5" w:rsidRPr="00725EB1">
              <w:rPr>
                <w:rFonts w:ascii="Cambria" w:hAnsi="Cambria"/>
                <w:bCs/>
                <w:sz w:val="24"/>
                <w:szCs w:val="24"/>
                <w:lang w:val="bg-BG"/>
              </w:rPr>
              <w:t>х</w:t>
            </w:r>
            <w:r w:rsidRPr="00725EB1">
              <w:rPr>
                <w:rFonts w:ascii="Cambria" w:hAnsi="Cambria"/>
                <w:bCs/>
                <w:sz w:val="24"/>
                <w:szCs w:val="24"/>
                <w:lang w:val="bg-BG"/>
              </w:rPr>
              <w:t>оди</w:t>
            </w:r>
            <w:r w:rsidR="00482E11" w:rsidRPr="00725EB1">
              <w:rPr>
                <w:rFonts w:ascii="Cambria" w:hAnsi="Cambria"/>
                <w:bCs/>
                <w:sz w:val="24"/>
                <w:szCs w:val="24"/>
                <w:lang w:val="bg-BG"/>
              </w:rPr>
              <w:t>)</w:t>
            </w:r>
            <w:r w:rsidRPr="00725EB1">
              <w:rPr>
                <w:rFonts w:ascii="Cambria" w:hAnsi="Cambria"/>
                <w:bCs/>
                <w:sz w:val="24"/>
                <w:szCs w:val="24"/>
                <w:lang w:val="bg-BG"/>
              </w:rPr>
              <w:t>.</w:t>
            </w:r>
          </w:p>
        </w:tc>
      </w:tr>
      <w:tr w:rsidR="003456CB" w:rsidRPr="00725EB1" w14:paraId="28ABAADB" w14:textId="77777777" w:rsidTr="00725EB1">
        <w:tc>
          <w:tcPr>
            <w:tcW w:w="709" w:type="dxa"/>
            <w:shd w:val="clear" w:color="auto" w:fill="auto"/>
          </w:tcPr>
          <w:p w14:paraId="53793277" w14:textId="49783719" w:rsidR="003456CB" w:rsidRPr="00725EB1" w:rsidRDefault="003456CB" w:rsidP="00BC1B60">
            <w:pPr>
              <w:pStyle w:val="ListParagraph"/>
              <w:numPr>
                <w:ilvl w:val="0"/>
                <w:numId w:val="13"/>
              </w:numPr>
              <w:spacing w:after="120" w:line="240" w:lineRule="auto"/>
              <w:rPr>
                <w:rFonts w:ascii="Cambria" w:eastAsia="Times New Roman" w:hAnsi="Cambria" w:cs="Times New Roman"/>
                <w:bCs/>
                <w:sz w:val="23"/>
                <w:szCs w:val="23"/>
                <w:lang w:val="bg-BG" w:bidi="ar-SA"/>
              </w:rPr>
            </w:pPr>
          </w:p>
        </w:tc>
        <w:tc>
          <w:tcPr>
            <w:tcW w:w="8895" w:type="dxa"/>
            <w:shd w:val="clear" w:color="auto" w:fill="auto"/>
          </w:tcPr>
          <w:p w14:paraId="6980AF1A" w14:textId="137F4265" w:rsidR="00E33589" w:rsidRPr="00725EB1" w:rsidRDefault="000E0E01" w:rsidP="00BC1B60">
            <w:pPr>
              <w:spacing w:after="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w:t>
            </w:r>
            <w:r w:rsidR="00E33589" w:rsidRPr="00725EB1">
              <w:rPr>
                <w:rFonts w:ascii="Cambria" w:eastAsia="Times New Roman" w:hAnsi="Cambria" w:cs="Times New Roman"/>
                <w:sz w:val="23"/>
                <w:szCs w:val="23"/>
                <w:lang w:val="bg-BG" w:bidi="ar-SA"/>
              </w:rPr>
              <w:t>СНД извършва плащания</w:t>
            </w:r>
            <w:r w:rsidRPr="00725EB1">
              <w:rPr>
                <w:rFonts w:ascii="Cambria" w:eastAsia="Times New Roman" w:hAnsi="Cambria" w:cs="Times New Roman"/>
                <w:sz w:val="23"/>
                <w:szCs w:val="23"/>
                <w:lang w:val="bg-BG" w:bidi="ar-SA"/>
              </w:rPr>
              <w:t xml:space="preserve"> към КП</w:t>
            </w:r>
            <w:r w:rsidR="00E33589" w:rsidRPr="00725EB1">
              <w:rPr>
                <w:rFonts w:ascii="Cambria" w:eastAsia="Times New Roman" w:hAnsi="Cambria" w:cs="Times New Roman"/>
                <w:sz w:val="23"/>
                <w:szCs w:val="23"/>
                <w:lang w:val="bg-BG" w:bidi="ar-SA"/>
              </w:rPr>
              <w:t xml:space="preserve"> както следва:</w:t>
            </w:r>
          </w:p>
          <w:p w14:paraId="08CA7894" w14:textId="1C1DB958" w:rsidR="00E33589" w:rsidRPr="00725EB1" w:rsidRDefault="009401DF" w:rsidP="009401DF">
            <w:pPr>
              <w:pStyle w:val="ListParagraph"/>
              <w:numPr>
                <w:ilvl w:val="0"/>
                <w:numId w:val="15"/>
              </w:numPr>
              <w:spacing w:after="120" w:line="240" w:lineRule="auto"/>
              <w:ind w:left="0"/>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за </w:t>
            </w:r>
            <w:r w:rsidR="00E33589" w:rsidRPr="00725EB1">
              <w:rPr>
                <w:rFonts w:ascii="Cambria" w:eastAsia="Times New Roman" w:hAnsi="Cambria" w:cs="Times New Roman"/>
                <w:sz w:val="23"/>
                <w:szCs w:val="23"/>
                <w:lang w:val="bg-BG" w:bidi="ar-SA"/>
              </w:rPr>
              <w:t xml:space="preserve">плащания по </w:t>
            </w:r>
            <w:r w:rsidRPr="00725EB1">
              <w:rPr>
                <w:rFonts w:ascii="Cambria" w:eastAsia="Times New Roman" w:hAnsi="Cambria" w:cs="Times New Roman"/>
                <w:sz w:val="23"/>
                <w:szCs w:val="23"/>
                <w:lang w:val="bg-BG" w:bidi="ar-SA"/>
              </w:rPr>
              <w:t xml:space="preserve">инвестицията към изпълнител </w:t>
            </w:r>
            <w:r w:rsidR="00805510" w:rsidRPr="00725EB1">
              <w:rPr>
                <w:rFonts w:ascii="Cambria" w:eastAsia="Times New Roman" w:hAnsi="Cambria" w:cs="Times New Roman"/>
                <w:sz w:val="23"/>
                <w:szCs w:val="23"/>
                <w:lang w:val="bg-BG" w:bidi="ar-SA"/>
              </w:rPr>
              <w:t>по</w:t>
            </w:r>
            <w:r w:rsidRPr="00725EB1">
              <w:rPr>
                <w:rFonts w:ascii="Cambria" w:eastAsia="Times New Roman" w:hAnsi="Cambria" w:cs="Times New Roman"/>
                <w:sz w:val="23"/>
                <w:szCs w:val="23"/>
                <w:lang w:val="bg-BG" w:bidi="ar-SA"/>
              </w:rPr>
              <w:t xml:space="preserve"> сключен договор с КП</w:t>
            </w:r>
            <w:r w:rsidR="00E33589" w:rsidRPr="00725EB1">
              <w:rPr>
                <w:rFonts w:ascii="Cambria" w:eastAsia="Times New Roman" w:hAnsi="Cambria" w:cs="Times New Roman"/>
                <w:sz w:val="23"/>
                <w:szCs w:val="23"/>
                <w:lang w:val="bg-BG" w:bidi="ar-SA"/>
              </w:rPr>
              <w:t>;</w:t>
            </w:r>
          </w:p>
          <w:p w14:paraId="4F9BD79E" w14:textId="2B67B85D" w:rsidR="003456CB" w:rsidRPr="00725EB1" w:rsidRDefault="009401DF" w:rsidP="00E664FC">
            <w:pPr>
              <w:pStyle w:val="ListParagraph"/>
              <w:numPr>
                <w:ilvl w:val="0"/>
                <w:numId w:val="15"/>
              </w:numPr>
              <w:spacing w:after="120" w:line="240" w:lineRule="auto"/>
              <w:ind w:left="0"/>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w:t>
            </w:r>
            <w:r w:rsidR="00E33589" w:rsidRPr="00725EB1">
              <w:rPr>
                <w:rFonts w:ascii="Cambria" w:eastAsia="Times New Roman" w:hAnsi="Cambria" w:cs="Times New Roman"/>
                <w:sz w:val="23"/>
                <w:szCs w:val="23"/>
                <w:lang w:val="bg-BG" w:bidi="ar-SA"/>
              </w:rPr>
              <w:t xml:space="preserve">за възстановяване на вече извършени плащания със средства от  КП, </w:t>
            </w:r>
            <w:r w:rsidRPr="00725EB1">
              <w:rPr>
                <w:rFonts w:ascii="Cambria" w:eastAsia="Times New Roman" w:hAnsi="Cambria" w:cs="Times New Roman"/>
                <w:sz w:val="23"/>
                <w:szCs w:val="23"/>
                <w:lang w:val="bg-BG" w:bidi="ar-SA"/>
              </w:rPr>
              <w:t xml:space="preserve">свързани с </w:t>
            </w:r>
            <w:r w:rsidRPr="00725EB1">
              <w:rPr>
                <w:rFonts w:ascii="Cambria" w:eastAsia="Times New Roman" w:hAnsi="Cambria" w:cs="Times New Roman"/>
                <w:sz w:val="23"/>
                <w:szCs w:val="23"/>
                <w:lang w:val="bg-BG" w:bidi="ar-SA"/>
              </w:rPr>
              <w:lastRenderedPageBreak/>
              <w:t>изпълнение на инвестицията;</w:t>
            </w:r>
          </w:p>
        </w:tc>
      </w:tr>
      <w:tr w:rsidR="00E664FC" w:rsidRPr="00725EB1" w14:paraId="2A59B0D8" w14:textId="77777777" w:rsidTr="00725EB1">
        <w:tc>
          <w:tcPr>
            <w:tcW w:w="709" w:type="dxa"/>
            <w:shd w:val="clear" w:color="auto" w:fill="auto"/>
          </w:tcPr>
          <w:p w14:paraId="17E38DF0" w14:textId="65E532BB" w:rsidR="00E664FC" w:rsidRPr="00725EB1" w:rsidRDefault="00725EB1" w:rsidP="00AC024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6.3</w:t>
            </w:r>
          </w:p>
        </w:tc>
        <w:tc>
          <w:tcPr>
            <w:tcW w:w="8895" w:type="dxa"/>
            <w:shd w:val="clear" w:color="auto" w:fill="auto"/>
          </w:tcPr>
          <w:p w14:paraId="0FC8EDDB" w14:textId="02ADF653" w:rsidR="00E664FC" w:rsidRPr="00725EB1" w:rsidRDefault="00E664FC" w:rsidP="008C666F">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СНД извършва плащания след представяне от страна на КП </w:t>
            </w:r>
            <w:r w:rsidR="00BC1B60" w:rsidRPr="00725EB1">
              <w:rPr>
                <w:rFonts w:ascii="Cambria" w:eastAsia="Times New Roman" w:hAnsi="Cambria" w:cs="Times New Roman"/>
                <w:sz w:val="23"/>
                <w:szCs w:val="23"/>
                <w:lang w:val="bg-BG" w:bidi="ar-SA"/>
              </w:rPr>
              <w:t xml:space="preserve">в ИС за МВУ </w:t>
            </w:r>
            <w:r w:rsidRPr="00725EB1">
              <w:rPr>
                <w:rFonts w:ascii="Cambria" w:eastAsia="Times New Roman" w:hAnsi="Cambria" w:cs="Times New Roman"/>
                <w:sz w:val="23"/>
                <w:szCs w:val="23"/>
                <w:lang w:val="bg-BG" w:bidi="ar-SA"/>
              </w:rPr>
              <w:t xml:space="preserve">на законосъобразен разходооправдателен документ, който </w:t>
            </w:r>
            <w:r w:rsidR="00482E11" w:rsidRPr="00725EB1">
              <w:rPr>
                <w:rFonts w:ascii="Cambria" w:eastAsia="Times New Roman" w:hAnsi="Cambria" w:cs="Times New Roman"/>
                <w:sz w:val="23"/>
                <w:szCs w:val="23"/>
                <w:lang w:val="bg-BG" w:bidi="ar-SA"/>
              </w:rPr>
              <w:t>се</w:t>
            </w:r>
            <w:r w:rsidRPr="00725EB1">
              <w:rPr>
                <w:rFonts w:ascii="Cambria" w:eastAsia="Times New Roman" w:hAnsi="Cambria" w:cs="Times New Roman"/>
                <w:sz w:val="23"/>
                <w:szCs w:val="23"/>
                <w:lang w:val="bg-BG" w:bidi="ar-SA"/>
              </w:rPr>
              <w:t xml:space="preserve"> провер</w:t>
            </w:r>
            <w:r w:rsidR="00482E11" w:rsidRPr="00725EB1">
              <w:rPr>
                <w:rFonts w:ascii="Cambria" w:eastAsia="Times New Roman" w:hAnsi="Cambria" w:cs="Times New Roman"/>
                <w:sz w:val="23"/>
                <w:szCs w:val="23"/>
                <w:lang w:val="bg-BG" w:bidi="ar-SA"/>
              </w:rPr>
              <w:t>ява</w:t>
            </w:r>
            <w:r w:rsidRPr="00725EB1">
              <w:rPr>
                <w:rFonts w:ascii="Cambria" w:eastAsia="Times New Roman" w:hAnsi="Cambria" w:cs="Times New Roman"/>
                <w:sz w:val="23"/>
                <w:szCs w:val="23"/>
                <w:lang w:val="bg-BG" w:bidi="ar-SA"/>
              </w:rPr>
              <w:t xml:space="preserve"> от СНД.</w:t>
            </w:r>
          </w:p>
        </w:tc>
      </w:tr>
      <w:tr w:rsidR="00E664FC" w:rsidRPr="00725EB1" w14:paraId="712A65A6" w14:textId="77777777" w:rsidTr="00725EB1">
        <w:tc>
          <w:tcPr>
            <w:tcW w:w="709" w:type="dxa"/>
            <w:shd w:val="clear" w:color="auto" w:fill="auto"/>
          </w:tcPr>
          <w:p w14:paraId="56213555" w14:textId="123A7D3B" w:rsidR="00E664FC" w:rsidRPr="00725EB1" w:rsidRDefault="00E664FC"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w:t>
            </w:r>
            <w:r w:rsidR="00725EB1" w:rsidRPr="00725EB1">
              <w:rPr>
                <w:rFonts w:ascii="Cambria" w:eastAsia="Times New Roman" w:hAnsi="Cambria" w:cs="Times New Roman"/>
                <w:bCs/>
                <w:sz w:val="23"/>
                <w:szCs w:val="23"/>
                <w:lang w:val="bg-BG" w:bidi="ar-SA"/>
              </w:rPr>
              <w:t>4</w:t>
            </w:r>
          </w:p>
        </w:tc>
        <w:tc>
          <w:tcPr>
            <w:tcW w:w="8895" w:type="dxa"/>
            <w:shd w:val="clear" w:color="auto" w:fill="auto"/>
          </w:tcPr>
          <w:p w14:paraId="5307E6B4" w14:textId="3EA4B215" w:rsidR="00E664FC" w:rsidRPr="00725EB1" w:rsidRDefault="00E664FC" w:rsidP="008C666F">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СНД инициира плащанията по т.6.</w:t>
            </w:r>
            <w:r w:rsidR="008C666F" w:rsidRPr="00725EB1">
              <w:rPr>
                <w:rFonts w:ascii="Cambria" w:eastAsia="Times New Roman" w:hAnsi="Cambria" w:cs="Times New Roman"/>
                <w:sz w:val="23"/>
                <w:szCs w:val="23"/>
                <w:lang w:val="bg-BG" w:bidi="ar-SA"/>
              </w:rPr>
              <w:t>2</w:t>
            </w:r>
            <w:r w:rsidRPr="00725EB1">
              <w:rPr>
                <w:rFonts w:ascii="Cambria" w:eastAsia="Times New Roman" w:hAnsi="Cambria" w:cs="Times New Roman"/>
                <w:sz w:val="23"/>
                <w:szCs w:val="23"/>
                <w:lang w:val="bg-BG" w:bidi="ar-SA"/>
              </w:rPr>
              <w:t xml:space="preserve"> в електронното банкиране на БНБ и ги одобрява в Системата за електронни бюджетни разплащания СЕБРА.</w:t>
            </w:r>
          </w:p>
        </w:tc>
      </w:tr>
      <w:tr w:rsidR="00E664FC" w:rsidRPr="00725EB1" w14:paraId="72188FA8" w14:textId="77777777" w:rsidTr="00725EB1">
        <w:tc>
          <w:tcPr>
            <w:tcW w:w="709" w:type="dxa"/>
            <w:shd w:val="clear" w:color="auto" w:fill="auto"/>
          </w:tcPr>
          <w:p w14:paraId="714CA113" w14:textId="6560A711" w:rsidR="00E664FC" w:rsidRPr="00725EB1" w:rsidRDefault="00E664FC"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w:t>
            </w:r>
            <w:r w:rsidR="00725EB1" w:rsidRPr="00725EB1">
              <w:rPr>
                <w:rFonts w:ascii="Cambria" w:eastAsia="Times New Roman" w:hAnsi="Cambria" w:cs="Times New Roman"/>
                <w:bCs/>
                <w:sz w:val="23"/>
                <w:szCs w:val="23"/>
                <w:lang w:val="bg-BG" w:bidi="ar-SA"/>
              </w:rPr>
              <w:t>5</w:t>
            </w:r>
          </w:p>
        </w:tc>
        <w:tc>
          <w:tcPr>
            <w:tcW w:w="8895" w:type="dxa"/>
            <w:shd w:val="clear" w:color="auto" w:fill="auto"/>
          </w:tcPr>
          <w:p w14:paraId="23CC5D00" w14:textId="42DEE54F" w:rsidR="00E664FC" w:rsidRPr="00725EB1" w:rsidRDefault="00E664FC" w:rsidP="004D41E2">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Осчетоводяването на финансовата информация по МВУ от СНД се извършва чрез SAP система на Министерството на финансите.</w:t>
            </w:r>
          </w:p>
        </w:tc>
      </w:tr>
      <w:tr w:rsidR="00E664FC" w:rsidRPr="00725EB1" w14:paraId="667C1F62" w14:textId="77777777" w:rsidTr="00725EB1">
        <w:tc>
          <w:tcPr>
            <w:tcW w:w="709" w:type="dxa"/>
            <w:shd w:val="clear" w:color="auto" w:fill="auto"/>
          </w:tcPr>
          <w:p w14:paraId="47E82BA1" w14:textId="468FF145" w:rsidR="00E664FC" w:rsidRPr="00725EB1" w:rsidRDefault="00E664FC"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w:t>
            </w:r>
            <w:r w:rsidR="00725EB1" w:rsidRPr="00725EB1">
              <w:rPr>
                <w:rFonts w:ascii="Cambria" w:eastAsia="Times New Roman" w:hAnsi="Cambria" w:cs="Times New Roman"/>
                <w:bCs/>
                <w:sz w:val="23"/>
                <w:szCs w:val="23"/>
                <w:lang w:val="bg-BG" w:bidi="ar-SA"/>
              </w:rPr>
              <w:t>6</w:t>
            </w:r>
          </w:p>
        </w:tc>
        <w:tc>
          <w:tcPr>
            <w:tcW w:w="8895" w:type="dxa"/>
            <w:shd w:val="clear" w:color="auto" w:fill="auto"/>
          </w:tcPr>
          <w:p w14:paraId="30DE980E" w14:textId="6752E3D9" w:rsidR="00E664FC" w:rsidRPr="00725EB1" w:rsidRDefault="00E664FC" w:rsidP="004D41E2">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се извършват при наличие на разполагаем лимит или след залагане на лимит по десетразрядния код на СНД от страна на Дирекция „Национален фонд“ на Министерство на финансите.</w:t>
            </w:r>
          </w:p>
        </w:tc>
      </w:tr>
      <w:tr w:rsidR="00E664FC" w:rsidRPr="00725EB1" w14:paraId="6E664F0C" w14:textId="77777777" w:rsidTr="00725EB1">
        <w:tc>
          <w:tcPr>
            <w:tcW w:w="709" w:type="dxa"/>
            <w:shd w:val="clear" w:color="auto" w:fill="auto"/>
          </w:tcPr>
          <w:p w14:paraId="2ABEDC2C" w14:textId="605F4B6C" w:rsidR="00E664FC" w:rsidRPr="00725EB1" w:rsidRDefault="00E664FC"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w:t>
            </w:r>
            <w:r w:rsidR="00725EB1" w:rsidRPr="00725EB1">
              <w:rPr>
                <w:rFonts w:ascii="Cambria" w:eastAsia="Times New Roman" w:hAnsi="Cambria" w:cs="Times New Roman"/>
                <w:bCs/>
                <w:sz w:val="23"/>
                <w:szCs w:val="23"/>
                <w:lang w:val="bg-BG" w:bidi="ar-SA"/>
              </w:rPr>
              <w:t>7</w:t>
            </w:r>
          </w:p>
        </w:tc>
        <w:tc>
          <w:tcPr>
            <w:tcW w:w="8895" w:type="dxa"/>
            <w:shd w:val="clear" w:color="auto" w:fill="auto"/>
          </w:tcPr>
          <w:p w14:paraId="7711513B" w14:textId="30315BF6" w:rsidR="00E664FC" w:rsidRPr="00725EB1" w:rsidRDefault="00E664FC" w:rsidP="004D41E2">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СНД извършва плащания към КП за допустими разходи за изпълнение на инвестицията, финансирана от средства от МВУ и за невъзстановим съгласно националното законодателство данък добавена стойност, в съответствие с предмета и целта на проекта. </w:t>
            </w:r>
          </w:p>
        </w:tc>
      </w:tr>
      <w:tr w:rsidR="00E664FC" w:rsidRPr="00725EB1" w14:paraId="1694FE19" w14:textId="77777777" w:rsidTr="00725EB1">
        <w:tc>
          <w:tcPr>
            <w:tcW w:w="709" w:type="dxa"/>
            <w:shd w:val="clear" w:color="auto" w:fill="auto"/>
          </w:tcPr>
          <w:p w14:paraId="21838FB8" w14:textId="428C7FC0" w:rsidR="00E664FC" w:rsidRPr="00725EB1" w:rsidRDefault="00E664FC"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w:t>
            </w:r>
            <w:r w:rsidR="00725EB1" w:rsidRPr="00725EB1">
              <w:rPr>
                <w:rFonts w:ascii="Cambria" w:eastAsia="Times New Roman" w:hAnsi="Cambria" w:cs="Times New Roman"/>
                <w:bCs/>
                <w:sz w:val="23"/>
                <w:szCs w:val="23"/>
                <w:lang w:val="bg-BG" w:bidi="ar-SA"/>
              </w:rPr>
              <w:t>8</w:t>
            </w:r>
          </w:p>
        </w:tc>
        <w:tc>
          <w:tcPr>
            <w:tcW w:w="8895" w:type="dxa"/>
            <w:shd w:val="clear" w:color="auto" w:fill="auto"/>
          </w:tcPr>
          <w:p w14:paraId="4F2D43F5" w14:textId="6CCAE2A0" w:rsidR="00E664FC" w:rsidRPr="00725EB1" w:rsidRDefault="00E664FC" w:rsidP="004D41E2">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Плащанията не следва да надвишават стойността на договорените разходи по  настоящия Договор.</w:t>
            </w:r>
          </w:p>
        </w:tc>
      </w:tr>
      <w:tr w:rsidR="00E664FC" w:rsidRPr="00725EB1" w14:paraId="7BA03D83" w14:textId="77777777" w:rsidTr="00725EB1">
        <w:tc>
          <w:tcPr>
            <w:tcW w:w="709" w:type="dxa"/>
            <w:shd w:val="clear" w:color="auto" w:fill="auto"/>
          </w:tcPr>
          <w:p w14:paraId="778D1A8E" w14:textId="609E9BA8" w:rsidR="00E664FC" w:rsidRPr="00725EB1" w:rsidRDefault="00E664FC"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w:t>
            </w:r>
            <w:r w:rsidR="00725EB1" w:rsidRPr="00725EB1">
              <w:rPr>
                <w:rFonts w:ascii="Cambria" w:eastAsia="Times New Roman" w:hAnsi="Cambria" w:cs="Times New Roman"/>
                <w:bCs/>
                <w:sz w:val="23"/>
                <w:szCs w:val="23"/>
                <w:lang w:val="bg-BG" w:bidi="ar-SA"/>
              </w:rPr>
              <w:t>9</w:t>
            </w:r>
          </w:p>
        </w:tc>
        <w:tc>
          <w:tcPr>
            <w:tcW w:w="8895" w:type="dxa"/>
            <w:shd w:val="clear" w:color="auto" w:fill="auto"/>
          </w:tcPr>
          <w:p w14:paraId="7B40AFAB" w14:textId="61AD733E" w:rsidR="00E664FC" w:rsidRPr="00725EB1" w:rsidRDefault="00E664FC" w:rsidP="004D41E2">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Последното плащане, обосновано от КП с разходооправдателни документи е плащането, с което се достига сумата по т.6.1. Плащането може да бъде извършено частично, ако надвишава стойността на договорените и действително извършени разходи по настоящия Договор.</w:t>
            </w:r>
          </w:p>
        </w:tc>
      </w:tr>
      <w:tr w:rsidR="00E664FC" w:rsidRPr="00725EB1" w14:paraId="2CDF4C96" w14:textId="77777777" w:rsidTr="00725EB1">
        <w:tc>
          <w:tcPr>
            <w:tcW w:w="709" w:type="dxa"/>
            <w:shd w:val="clear" w:color="auto" w:fill="auto"/>
          </w:tcPr>
          <w:p w14:paraId="7B3EA909" w14:textId="3A0C58D4" w:rsidR="00E664FC" w:rsidRPr="00725EB1" w:rsidRDefault="00E664FC"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w:t>
            </w:r>
            <w:r w:rsidR="00725EB1" w:rsidRPr="00725EB1">
              <w:rPr>
                <w:rFonts w:ascii="Cambria" w:eastAsia="Times New Roman" w:hAnsi="Cambria" w:cs="Times New Roman"/>
                <w:bCs/>
                <w:sz w:val="23"/>
                <w:szCs w:val="23"/>
                <w:lang w:val="bg-BG" w:bidi="ar-SA"/>
              </w:rPr>
              <w:t>0</w:t>
            </w:r>
          </w:p>
        </w:tc>
        <w:tc>
          <w:tcPr>
            <w:tcW w:w="8895" w:type="dxa"/>
            <w:shd w:val="clear" w:color="auto" w:fill="auto"/>
          </w:tcPr>
          <w:p w14:paraId="2DE7B389" w14:textId="3B4B2C05" w:rsidR="00E664FC" w:rsidRPr="00725EB1" w:rsidRDefault="00E664FC" w:rsidP="008C666F">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КП  докладва напредъка по изпълнението на етапите и целите, заложени в </w:t>
            </w:r>
            <w:r w:rsidR="008C666F" w:rsidRPr="00725EB1">
              <w:rPr>
                <w:rFonts w:ascii="Cambria" w:eastAsia="Times New Roman" w:hAnsi="Cambria" w:cs="Times New Roman"/>
                <w:sz w:val="23"/>
                <w:szCs w:val="23"/>
                <w:lang w:val="bg-BG" w:bidi="ar-SA"/>
              </w:rPr>
              <w:t>проектното предложеие</w:t>
            </w:r>
            <w:r w:rsidRPr="00725EB1">
              <w:rPr>
                <w:rFonts w:ascii="Cambria" w:eastAsia="Times New Roman" w:hAnsi="Cambria" w:cs="Times New Roman"/>
                <w:sz w:val="23"/>
                <w:szCs w:val="23"/>
                <w:lang w:val="bg-BG" w:bidi="ar-SA"/>
              </w:rPr>
              <w:t xml:space="preserve"> чрез ФТО, посредством ИС на МВУ, най-малко веднъж в рамките на съответното тримесечие. Сроковете за представяне на ФТО с</w:t>
            </w:r>
            <w:r w:rsidR="008C666F" w:rsidRPr="00725EB1">
              <w:rPr>
                <w:rFonts w:ascii="Cambria" w:eastAsia="Times New Roman" w:hAnsi="Cambria" w:cs="Times New Roman"/>
                <w:sz w:val="23"/>
                <w:szCs w:val="23"/>
                <w:lang w:val="bg-BG" w:bidi="ar-SA"/>
              </w:rPr>
              <w:t>е</w:t>
            </w:r>
            <w:r w:rsidRPr="00725EB1">
              <w:rPr>
                <w:rFonts w:ascii="Cambria" w:eastAsia="Times New Roman" w:hAnsi="Cambria" w:cs="Times New Roman"/>
                <w:sz w:val="23"/>
                <w:szCs w:val="23"/>
                <w:lang w:val="bg-BG" w:bidi="ar-SA"/>
              </w:rPr>
              <w:t xml:space="preserve"> уре</w:t>
            </w:r>
            <w:r w:rsidR="008C666F" w:rsidRPr="00725EB1">
              <w:rPr>
                <w:rFonts w:ascii="Cambria" w:eastAsia="Times New Roman" w:hAnsi="Cambria" w:cs="Times New Roman"/>
                <w:sz w:val="23"/>
                <w:szCs w:val="23"/>
                <w:lang w:val="bg-BG" w:bidi="ar-SA"/>
              </w:rPr>
              <w:t>ждат</w:t>
            </w:r>
            <w:r w:rsidRPr="00725EB1">
              <w:rPr>
                <w:rFonts w:ascii="Cambria" w:eastAsia="Times New Roman" w:hAnsi="Cambria" w:cs="Times New Roman"/>
                <w:sz w:val="23"/>
                <w:szCs w:val="23"/>
                <w:lang w:val="bg-BG" w:bidi="ar-SA"/>
              </w:rPr>
              <w:t xml:space="preserve"> в </w:t>
            </w:r>
            <w:r w:rsidR="008C666F" w:rsidRPr="00725EB1">
              <w:rPr>
                <w:rFonts w:ascii="Cambria" w:eastAsia="Times New Roman" w:hAnsi="Cambria" w:cs="Times New Roman"/>
                <w:sz w:val="23"/>
                <w:szCs w:val="23"/>
                <w:lang w:val="bg-BG" w:bidi="ar-SA"/>
              </w:rPr>
              <w:t>Ръководство</w:t>
            </w:r>
            <w:r w:rsidRPr="00725EB1">
              <w:rPr>
                <w:rFonts w:ascii="Cambria" w:eastAsia="Times New Roman" w:hAnsi="Cambria" w:cs="Times New Roman"/>
                <w:sz w:val="23"/>
                <w:szCs w:val="23"/>
                <w:lang w:val="bg-BG" w:bidi="ar-SA"/>
              </w:rPr>
              <w:t xml:space="preserve"> за изпълнение </w:t>
            </w:r>
            <w:r w:rsidR="008C666F" w:rsidRPr="00725EB1">
              <w:rPr>
                <w:rFonts w:ascii="Cambria" w:eastAsia="Times New Roman" w:hAnsi="Cambria" w:cs="Times New Roman"/>
                <w:sz w:val="23"/>
                <w:szCs w:val="23"/>
                <w:lang w:val="bg-BG" w:bidi="ar-SA"/>
              </w:rPr>
              <w:t xml:space="preserve">и отчитане на </w:t>
            </w:r>
            <w:r w:rsidRPr="00725EB1">
              <w:rPr>
                <w:rFonts w:ascii="Cambria" w:eastAsia="Times New Roman" w:hAnsi="Cambria" w:cs="Times New Roman"/>
                <w:sz w:val="23"/>
                <w:szCs w:val="23"/>
                <w:lang w:val="bg-BG" w:bidi="ar-SA"/>
              </w:rPr>
              <w:t>инвестиции</w:t>
            </w:r>
            <w:r w:rsidR="008C666F" w:rsidRPr="00725EB1">
              <w:rPr>
                <w:rFonts w:ascii="Cambria" w:eastAsia="Times New Roman" w:hAnsi="Cambria" w:cs="Times New Roman"/>
                <w:sz w:val="23"/>
                <w:szCs w:val="23"/>
                <w:lang w:val="bg-BG" w:bidi="ar-SA"/>
              </w:rPr>
              <w:t>те</w:t>
            </w:r>
            <w:r w:rsidRPr="00725EB1">
              <w:rPr>
                <w:rFonts w:ascii="Cambria" w:eastAsia="Times New Roman" w:hAnsi="Cambria" w:cs="Times New Roman"/>
                <w:sz w:val="23"/>
                <w:szCs w:val="23"/>
                <w:lang w:val="bg-BG" w:bidi="ar-SA"/>
              </w:rPr>
              <w:t xml:space="preserve"> по настоящата процедура.</w:t>
            </w:r>
          </w:p>
        </w:tc>
      </w:tr>
      <w:tr w:rsidR="003456CB" w:rsidRPr="00725EB1" w14:paraId="47D6161C" w14:textId="77777777" w:rsidTr="00725EB1">
        <w:tc>
          <w:tcPr>
            <w:tcW w:w="709" w:type="dxa"/>
            <w:shd w:val="clear" w:color="auto" w:fill="auto"/>
          </w:tcPr>
          <w:p w14:paraId="5CC660F5" w14:textId="6EE56ABE" w:rsidR="003456CB" w:rsidRPr="00725EB1" w:rsidRDefault="00E664FC"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w:t>
            </w:r>
            <w:r w:rsidR="00725EB1" w:rsidRPr="00725EB1">
              <w:rPr>
                <w:rFonts w:ascii="Cambria" w:eastAsia="Times New Roman" w:hAnsi="Cambria" w:cs="Times New Roman"/>
                <w:bCs/>
                <w:sz w:val="23"/>
                <w:szCs w:val="23"/>
                <w:lang w:val="bg-BG" w:bidi="ar-SA"/>
              </w:rPr>
              <w:t>1</w:t>
            </w:r>
          </w:p>
        </w:tc>
        <w:tc>
          <w:tcPr>
            <w:tcW w:w="8895" w:type="dxa"/>
            <w:shd w:val="clear" w:color="auto" w:fill="auto"/>
          </w:tcPr>
          <w:p w14:paraId="41828932" w14:textId="29FD7C4D" w:rsidR="003456CB" w:rsidRPr="00725EB1" w:rsidRDefault="006F59A8" w:rsidP="00D15EB2">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w:t>
            </w:r>
            <w:r w:rsidR="00237290" w:rsidRPr="00725EB1">
              <w:rPr>
                <w:rFonts w:ascii="Cambria" w:eastAsia="Times New Roman" w:hAnsi="Cambria" w:cs="Times New Roman"/>
                <w:sz w:val="23"/>
                <w:szCs w:val="23"/>
                <w:lang w:val="bg-BG" w:bidi="ar-SA"/>
              </w:rPr>
              <w:t xml:space="preserve"> сключването на Договора КП уведомява СНД за банковата сметка, по</w:t>
            </w:r>
            <w:r w:rsidR="009E581B" w:rsidRPr="00725EB1">
              <w:rPr>
                <w:rFonts w:ascii="Cambria" w:eastAsia="Times New Roman" w:hAnsi="Cambria" w:cs="Times New Roman"/>
                <w:sz w:val="23"/>
                <w:szCs w:val="23"/>
                <w:lang w:val="bg-BG" w:bidi="ar-SA"/>
              </w:rPr>
              <w:t xml:space="preserve"> която ще се извършват </w:t>
            </w:r>
            <w:r w:rsidR="00237290" w:rsidRPr="00725EB1">
              <w:rPr>
                <w:rFonts w:ascii="Cambria" w:eastAsia="Times New Roman" w:hAnsi="Cambria" w:cs="Times New Roman"/>
                <w:sz w:val="23"/>
                <w:szCs w:val="23"/>
                <w:lang w:val="bg-BG" w:bidi="ar-SA"/>
              </w:rPr>
              <w:t>плащанията чрез представяне на финансова идентификационна форма [по образец на СНД].</w:t>
            </w:r>
            <w:r w:rsidR="00185522" w:rsidRPr="00725EB1">
              <w:rPr>
                <w:rFonts w:ascii="Cambria" w:eastAsia="Times New Roman" w:hAnsi="Cambria" w:cs="Times New Roman"/>
                <w:sz w:val="23"/>
                <w:szCs w:val="23"/>
                <w:lang w:val="bg-BG" w:bidi="ar-SA"/>
              </w:rPr>
              <w:t xml:space="preserve"> </w:t>
            </w:r>
            <w:r w:rsidR="00D15EB2" w:rsidRPr="00725EB1">
              <w:rPr>
                <w:rFonts w:ascii="Cambria" w:eastAsia="Times New Roman" w:hAnsi="Cambria" w:cs="Times New Roman"/>
                <w:sz w:val="23"/>
                <w:szCs w:val="23"/>
                <w:lang w:val="bg-BG" w:bidi="ar-SA"/>
              </w:rPr>
              <w:t xml:space="preserve">Ако е приложимо, </w:t>
            </w:r>
            <w:r w:rsidR="00D15EB2" w:rsidRPr="00725EB1">
              <w:rPr>
                <w:rFonts w:ascii="Cambria" w:eastAsia="Times New Roman" w:hAnsi="Cambria" w:cs="Times New Roman"/>
                <w:sz w:val="24"/>
                <w:szCs w:val="24"/>
                <w:lang w:val="bg-BG" w:eastAsia="en-GB" w:bidi="ar-SA"/>
              </w:rPr>
              <w:t>в срок до 5 (пет) работни дни след сключването на договор с изпълнител</w:t>
            </w:r>
            <w:r w:rsidR="000B67C5" w:rsidRPr="00725EB1">
              <w:rPr>
                <w:rFonts w:ascii="Cambria" w:eastAsia="Times New Roman" w:hAnsi="Cambria" w:cs="Times New Roman"/>
                <w:sz w:val="24"/>
                <w:szCs w:val="24"/>
                <w:lang w:val="bg-BG" w:eastAsia="en-GB" w:bidi="ar-SA"/>
              </w:rPr>
              <w:t>,</w:t>
            </w:r>
            <w:r w:rsidR="00D15EB2" w:rsidRPr="00725EB1">
              <w:rPr>
                <w:rFonts w:ascii="Cambria" w:eastAsia="Times New Roman" w:hAnsi="Cambria" w:cs="Times New Roman"/>
                <w:sz w:val="23"/>
                <w:szCs w:val="23"/>
                <w:lang w:val="bg-BG" w:bidi="ar-SA"/>
              </w:rPr>
              <w:t xml:space="preserve"> </w:t>
            </w:r>
            <w:r w:rsidR="009E581B" w:rsidRPr="00725EB1">
              <w:rPr>
                <w:rFonts w:ascii="Cambria" w:eastAsia="Times New Roman" w:hAnsi="Cambria" w:cs="Times New Roman"/>
                <w:sz w:val="23"/>
                <w:szCs w:val="23"/>
                <w:lang w:val="bg-BG" w:bidi="ar-SA"/>
              </w:rPr>
              <w:t>КП уведомява СНД за банковата сметка на изпълнителя</w:t>
            </w:r>
            <w:r w:rsidR="00D15EB2" w:rsidRPr="00725EB1">
              <w:rPr>
                <w:rFonts w:ascii="Cambria" w:eastAsia="Times New Roman" w:hAnsi="Cambria" w:cs="Times New Roman"/>
                <w:sz w:val="23"/>
                <w:szCs w:val="23"/>
                <w:lang w:val="bg-BG" w:bidi="ar-SA"/>
              </w:rPr>
              <w:t xml:space="preserve"> </w:t>
            </w:r>
            <w:r w:rsidR="00D15EB2" w:rsidRPr="00725EB1">
              <w:rPr>
                <w:rFonts w:ascii="Cambria" w:eastAsia="Times New Roman" w:hAnsi="Cambria" w:cs="Times New Roman"/>
                <w:sz w:val="24"/>
                <w:szCs w:val="24"/>
                <w:lang w:val="bg-BG" w:eastAsia="en-GB" w:bidi="ar-SA"/>
              </w:rPr>
              <w:t>чрез ИС на МВУ.</w:t>
            </w:r>
          </w:p>
        </w:tc>
      </w:tr>
      <w:tr w:rsidR="004D6B5B" w:rsidRPr="00725EB1" w14:paraId="4EAE226C" w14:textId="77777777" w:rsidTr="00725EB1">
        <w:tc>
          <w:tcPr>
            <w:tcW w:w="709" w:type="dxa"/>
            <w:shd w:val="clear" w:color="auto" w:fill="auto"/>
          </w:tcPr>
          <w:p w14:paraId="1DF9A5B4" w14:textId="2573B4CB" w:rsidR="004D6B5B" w:rsidRPr="00725EB1" w:rsidRDefault="00E664FC"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w:t>
            </w:r>
            <w:r w:rsidR="00725EB1" w:rsidRPr="00725EB1">
              <w:rPr>
                <w:rFonts w:ascii="Cambria" w:eastAsia="Times New Roman" w:hAnsi="Cambria" w:cs="Times New Roman"/>
                <w:bCs/>
                <w:sz w:val="23"/>
                <w:szCs w:val="23"/>
                <w:lang w:val="bg-BG" w:bidi="ar-SA"/>
              </w:rPr>
              <w:t>2</w:t>
            </w:r>
          </w:p>
        </w:tc>
        <w:tc>
          <w:tcPr>
            <w:tcW w:w="8895" w:type="dxa"/>
            <w:shd w:val="clear" w:color="auto" w:fill="auto"/>
          </w:tcPr>
          <w:p w14:paraId="2D7D4148" w14:textId="31726687" w:rsidR="004D6B5B" w:rsidRPr="00725EB1" w:rsidRDefault="00237290"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СНД извършва плащане след проверка в ИС за ПВУ на документите и информацията,  съобразно изискванията на утвърденото Ръководство за изпълн</w:t>
            </w:r>
            <w:r w:rsidR="006F59A8" w:rsidRPr="00725EB1">
              <w:rPr>
                <w:rFonts w:ascii="Cambria" w:eastAsia="Times New Roman" w:hAnsi="Cambria" w:cs="Times New Roman"/>
                <w:sz w:val="23"/>
                <w:szCs w:val="23"/>
                <w:lang w:val="bg-BG" w:bidi="ar-SA"/>
              </w:rPr>
              <w:t>ение и отчитане на инвестициите и СУК_ПВУ</w:t>
            </w:r>
            <w:r w:rsidRPr="00725EB1">
              <w:rPr>
                <w:rFonts w:ascii="Cambria" w:eastAsia="Times New Roman" w:hAnsi="Cambria" w:cs="Times New Roman"/>
                <w:sz w:val="23"/>
                <w:szCs w:val="23"/>
                <w:lang w:val="bg-BG" w:bidi="ar-SA"/>
              </w:rPr>
              <w:t>.</w:t>
            </w:r>
          </w:p>
          <w:p w14:paraId="0D569C12" w14:textId="00AB6CA8" w:rsidR="00237290" w:rsidRPr="00725EB1" w:rsidRDefault="00D77CC6" w:rsidP="00725EB1">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w:t>
            </w:r>
            <w:r w:rsidR="00725EB1" w:rsidRPr="00725EB1">
              <w:rPr>
                <w:rFonts w:ascii="Cambria" w:eastAsia="Times New Roman" w:hAnsi="Cambria" w:cs="Times New Roman"/>
                <w:sz w:val="23"/>
                <w:szCs w:val="23"/>
                <w:lang w:val="bg-BG" w:bidi="ar-SA"/>
              </w:rPr>
              <w:t>2</w:t>
            </w:r>
            <w:r w:rsidR="00237290" w:rsidRPr="00725EB1">
              <w:rPr>
                <w:rFonts w:ascii="Cambria" w:eastAsia="Times New Roman" w:hAnsi="Cambria" w:cs="Times New Roman"/>
                <w:sz w:val="23"/>
                <w:szCs w:val="23"/>
                <w:lang w:val="bg-BG" w:bidi="ar-SA"/>
              </w:rPr>
              <w:t>.</w:t>
            </w:r>
            <w:r w:rsidRPr="00725EB1">
              <w:rPr>
                <w:rFonts w:ascii="Cambria" w:eastAsia="Times New Roman" w:hAnsi="Cambria" w:cs="Times New Roman"/>
                <w:sz w:val="23"/>
                <w:szCs w:val="23"/>
                <w:lang w:val="bg-BG" w:bidi="ar-SA"/>
              </w:rPr>
              <w:t>1.</w:t>
            </w:r>
            <w:r w:rsidR="00237290" w:rsidRPr="00725EB1">
              <w:rPr>
                <w:rFonts w:ascii="Cambria" w:eastAsia="Times New Roman" w:hAnsi="Cambria" w:cs="Times New Roman"/>
                <w:sz w:val="23"/>
                <w:szCs w:val="23"/>
                <w:lang w:val="bg-BG" w:bidi="ar-SA"/>
              </w:rPr>
              <w:t xml:space="preserve"> Разходи по инвестицията, извършени преди подписване на настоящия договор, подлежат на възстановяване,  при условие че са спазени разпоредбите на Регламент (ЕС) 2021/241 на Европейския парламент и на Съвета от 12 февруари 2021 г. за създаване на Механизъм за възстановяване и устойчивост и съответстват на одобрения Национален план за възстановяване и устойчивост и националното законодателство,  в срок до 30 работни дни след представяне на документите по т. 6.5 и съобразно изискванията и сроковете, определени в Приложение II към настоящия договор и утвърденото Ръководство за изпълнение и отчитане на инвестициите.</w:t>
            </w:r>
          </w:p>
        </w:tc>
      </w:tr>
      <w:tr w:rsidR="009E581B" w:rsidRPr="00725EB1" w14:paraId="6F845EF9" w14:textId="77777777" w:rsidTr="00725EB1">
        <w:tc>
          <w:tcPr>
            <w:tcW w:w="709" w:type="dxa"/>
            <w:shd w:val="clear" w:color="auto" w:fill="auto"/>
          </w:tcPr>
          <w:p w14:paraId="6634E608" w14:textId="42C69E42" w:rsidR="009E581B" w:rsidRPr="00725EB1" w:rsidRDefault="00D77CC6"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w:t>
            </w:r>
            <w:r w:rsidR="00725EB1" w:rsidRPr="00725EB1">
              <w:rPr>
                <w:rFonts w:ascii="Cambria" w:eastAsia="Times New Roman" w:hAnsi="Cambria" w:cs="Times New Roman"/>
                <w:bCs/>
                <w:sz w:val="23"/>
                <w:szCs w:val="23"/>
                <w:lang w:val="bg-BG" w:bidi="ar-SA"/>
              </w:rPr>
              <w:t>3</w:t>
            </w:r>
          </w:p>
        </w:tc>
        <w:tc>
          <w:tcPr>
            <w:tcW w:w="8895" w:type="dxa"/>
            <w:shd w:val="clear" w:color="auto" w:fill="auto"/>
          </w:tcPr>
          <w:p w14:paraId="1669AFA7" w14:textId="3D2BCDBD" w:rsidR="009E581B" w:rsidRPr="00725EB1" w:rsidRDefault="009E581B" w:rsidP="009E581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КП поддържа адекватна счетоводна система, позволяваща аналитична отчетност за  всички разходи и извършени плащания по Инвестицията, за вземанията и задълженията, от която да са видни счетоводните сметки, създадени за целите на МВУ с цел разграничаване на разходите и на финансовите потоци при финансиране от други източници, както и да се осигури съпоставимост с финансовата информация, която се посочва във ФТО.</w:t>
            </w:r>
          </w:p>
        </w:tc>
      </w:tr>
      <w:tr w:rsidR="009E581B" w:rsidRPr="00725EB1" w14:paraId="66B6BFFD" w14:textId="77777777" w:rsidTr="00725EB1">
        <w:tc>
          <w:tcPr>
            <w:tcW w:w="709" w:type="dxa"/>
            <w:shd w:val="clear" w:color="auto" w:fill="auto"/>
          </w:tcPr>
          <w:p w14:paraId="42793595" w14:textId="45FDB01F" w:rsidR="009E581B" w:rsidRPr="00725EB1" w:rsidRDefault="00D77CC6"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lastRenderedPageBreak/>
              <w:t>6.1</w:t>
            </w:r>
            <w:r w:rsidR="00725EB1" w:rsidRPr="00725EB1">
              <w:rPr>
                <w:rFonts w:ascii="Cambria" w:eastAsia="Times New Roman" w:hAnsi="Cambria" w:cs="Times New Roman"/>
                <w:bCs/>
                <w:sz w:val="23"/>
                <w:szCs w:val="23"/>
                <w:lang w:val="bg-BG" w:bidi="ar-SA"/>
              </w:rPr>
              <w:t>4</w:t>
            </w:r>
          </w:p>
        </w:tc>
        <w:tc>
          <w:tcPr>
            <w:tcW w:w="8895" w:type="dxa"/>
            <w:shd w:val="clear" w:color="auto" w:fill="auto"/>
          </w:tcPr>
          <w:p w14:paraId="3F0966BA" w14:textId="341E0178" w:rsidR="009E581B" w:rsidRPr="00725EB1" w:rsidRDefault="009E581B" w:rsidP="009E581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Счетоводната отчетност следва да се прилага в съответствие с приложимото национално законодателство. Счетоводните отчети и разходите, свързани с Инвестицията, трябва да подлежат на ясно идентифициране и проверка.</w:t>
            </w:r>
          </w:p>
        </w:tc>
      </w:tr>
      <w:tr w:rsidR="009E581B" w:rsidRPr="00725EB1" w14:paraId="18C6473B" w14:textId="77777777" w:rsidTr="00725EB1">
        <w:tc>
          <w:tcPr>
            <w:tcW w:w="709" w:type="dxa"/>
            <w:shd w:val="clear" w:color="auto" w:fill="auto"/>
          </w:tcPr>
          <w:p w14:paraId="38F57F2E" w14:textId="1A0B971C" w:rsidR="009E581B" w:rsidRPr="00725EB1" w:rsidRDefault="00D77CC6" w:rsidP="00725EB1">
            <w:pPr>
              <w:spacing w:after="120" w:line="240" w:lineRule="auto"/>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6.1</w:t>
            </w:r>
            <w:r w:rsidR="00725EB1" w:rsidRPr="00725EB1">
              <w:rPr>
                <w:rFonts w:ascii="Cambria" w:eastAsia="Times New Roman" w:hAnsi="Cambria" w:cs="Times New Roman"/>
                <w:bCs/>
                <w:sz w:val="23"/>
                <w:szCs w:val="23"/>
                <w:lang w:val="bg-BG" w:bidi="ar-SA"/>
              </w:rPr>
              <w:t>5</w:t>
            </w:r>
          </w:p>
        </w:tc>
        <w:tc>
          <w:tcPr>
            <w:tcW w:w="8895" w:type="dxa"/>
            <w:shd w:val="clear" w:color="auto" w:fill="auto"/>
          </w:tcPr>
          <w:p w14:paraId="717C9C4B" w14:textId="77777777" w:rsidR="009E581B" w:rsidRPr="00725EB1" w:rsidRDefault="009E581B" w:rsidP="009E581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СНД спира плащанията към крайния получател при:</w:t>
            </w:r>
          </w:p>
          <w:p w14:paraId="2387220E" w14:textId="77777777" w:rsidR="009E581B" w:rsidRPr="00725EB1" w:rsidRDefault="009E581B" w:rsidP="009E581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1. повдигнато с обвинителен акт обвинение за извършено престъпление - измама или корупция (подкуп), касаещо инвестицията по чл. 1;</w:t>
            </w:r>
          </w:p>
          <w:p w14:paraId="123238FF" w14:textId="77777777" w:rsidR="009E581B" w:rsidRPr="00725EB1" w:rsidRDefault="009E581B" w:rsidP="009E581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2.</w:t>
            </w:r>
            <w:r w:rsidRPr="00725EB1">
              <w:rPr>
                <w:rFonts w:ascii="Cambria" w:eastAsia="Times New Roman" w:hAnsi="Cambria" w:cs="Times New Roman"/>
                <w:sz w:val="23"/>
                <w:szCs w:val="23"/>
                <w:lang w:val="bg-BG" w:bidi="ar-SA"/>
              </w:rPr>
              <w:tab/>
              <w:t>установен с акт на компетентния орган конфликт на интереси по реда на Закона за противодействие на корупцията и отнемане на незаконно придобитото имущество и Наредбата за организацията и реда за извършване на проверка на декларациите и за установяване конфликт на интереси по отношение на лице, участващото в ръководството и/или изпълнението на инвестицията по чл. 1;</w:t>
            </w:r>
          </w:p>
          <w:p w14:paraId="2BC1542C" w14:textId="1DFDC4EB" w:rsidR="009E581B" w:rsidRPr="00725EB1" w:rsidRDefault="00D77CC6" w:rsidP="009E581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w:t>
            </w:r>
            <w:r w:rsidR="00725EB1" w:rsidRPr="00725EB1">
              <w:rPr>
                <w:rFonts w:ascii="Cambria" w:eastAsia="Times New Roman" w:hAnsi="Cambria" w:cs="Times New Roman"/>
                <w:sz w:val="23"/>
                <w:szCs w:val="23"/>
                <w:lang w:val="bg-BG" w:bidi="ar-SA"/>
              </w:rPr>
              <w:t>5</w:t>
            </w:r>
            <w:r w:rsidRPr="00725EB1">
              <w:rPr>
                <w:rFonts w:ascii="Cambria" w:eastAsia="Times New Roman" w:hAnsi="Cambria" w:cs="Times New Roman"/>
                <w:sz w:val="23"/>
                <w:szCs w:val="23"/>
                <w:lang w:val="bg-BG" w:bidi="ar-SA"/>
              </w:rPr>
              <w:t>.1 В случаите по т. 6.17</w:t>
            </w:r>
            <w:r w:rsidR="009E581B" w:rsidRPr="00725EB1">
              <w:rPr>
                <w:rFonts w:ascii="Cambria" w:eastAsia="Times New Roman" w:hAnsi="Cambria" w:cs="Times New Roman"/>
                <w:sz w:val="23"/>
                <w:szCs w:val="23"/>
                <w:lang w:val="bg-BG" w:bidi="ar-SA"/>
              </w:rPr>
              <w:t xml:space="preserve"> плащанията се възобновяват при отстраняване от инвестицията на лицето/лицата, спрямо което/които е налице повдигнато обвинение т.1, или за които е установено, че е налице конфликт на интереси в случаите по т. 2.</w:t>
            </w:r>
          </w:p>
          <w:p w14:paraId="3D1CE692" w14:textId="3B105353" w:rsidR="009E581B" w:rsidRPr="00725EB1" w:rsidRDefault="00D77CC6" w:rsidP="00725EB1">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6.1</w:t>
            </w:r>
            <w:r w:rsidR="00725EB1" w:rsidRPr="00725EB1">
              <w:rPr>
                <w:rFonts w:ascii="Cambria" w:eastAsia="Times New Roman" w:hAnsi="Cambria" w:cs="Times New Roman"/>
                <w:sz w:val="23"/>
                <w:szCs w:val="23"/>
                <w:lang w:val="bg-BG" w:bidi="ar-SA"/>
              </w:rPr>
              <w:t>5</w:t>
            </w:r>
            <w:r w:rsidRPr="00725EB1">
              <w:rPr>
                <w:rFonts w:ascii="Cambria" w:eastAsia="Times New Roman" w:hAnsi="Cambria" w:cs="Times New Roman"/>
                <w:sz w:val="23"/>
                <w:szCs w:val="23"/>
                <w:lang w:val="bg-BG" w:bidi="ar-SA"/>
              </w:rPr>
              <w:t>.2</w:t>
            </w:r>
            <w:r w:rsidR="009E581B" w:rsidRPr="00725EB1">
              <w:rPr>
                <w:rFonts w:ascii="Cambria" w:eastAsia="Times New Roman" w:hAnsi="Cambria" w:cs="Times New Roman"/>
                <w:sz w:val="23"/>
                <w:szCs w:val="23"/>
                <w:lang w:val="bg-BG" w:bidi="ar-SA"/>
              </w:rPr>
              <w:t xml:space="preserve"> СНД спира  плащанията  по договора за финансиране и в случаите на установено двойно финансиране, неотстранени финансови или технически несъответствия в изпълнението на инвестицията, установени при проверка на място или по документи.</w:t>
            </w:r>
          </w:p>
        </w:tc>
      </w:tr>
    </w:tbl>
    <w:p w14:paraId="42A2DD70" w14:textId="7E2B1CED" w:rsidR="003456CB" w:rsidRPr="00725EB1" w:rsidRDefault="003456CB" w:rsidP="003456CB">
      <w:pPr>
        <w:tabs>
          <w:tab w:val="left" w:pos="-1440"/>
          <w:tab w:val="left" w:pos="-720"/>
        </w:tabs>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ab/>
      </w:r>
    </w:p>
    <w:p w14:paraId="7D15E96D" w14:textId="188BED11" w:rsidR="003456CB" w:rsidRPr="00725EB1" w:rsidRDefault="003456CB" w:rsidP="003456CB">
      <w:pPr>
        <w:spacing w:after="240" w:line="240" w:lineRule="auto"/>
        <w:ind w:left="567" w:hanging="567"/>
        <w:jc w:val="both"/>
        <w:rPr>
          <w:rFonts w:ascii="Times New Roman" w:eastAsia="Times New Roman" w:hAnsi="Times New Roman" w:cs="Times New Roman"/>
          <w:b/>
          <w:sz w:val="24"/>
          <w:szCs w:val="24"/>
          <w:lang w:val="bg-BG" w:bidi="ar-SA"/>
        </w:rPr>
      </w:pPr>
      <w:r w:rsidRPr="00725EB1">
        <w:rPr>
          <w:rFonts w:ascii="Times New Roman" w:eastAsia="Times New Roman" w:hAnsi="Times New Roman" w:cs="Times New Roman"/>
          <w:b/>
          <w:sz w:val="24"/>
          <w:szCs w:val="24"/>
          <w:lang w:val="bg-BG" w:bidi="ar-SA"/>
        </w:rPr>
        <w:t xml:space="preserve">Член 7. </w:t>
      </w:r>
      <w:r w:rsidRPr="00725EB1">
        <w:rPr>
          <w:rFonts w:ascii="Times New Roman" w:eastAsia="Times New Roman" w:hAnsi="Times New Roman" w:cs="Times New Roman"/>
          <w:b/>
          <w:sz w:val="24"/>
          <w:szCs w:val="24"/>
          <w:lang w:val="bg-BG" w:bidi="ar-SA"/>
        </w:rPr>
        <w:t>Възстановяване на средства от КП по договора</w:t>
      </w:r>
      <w:r w:rsidR="000B67C5" w:rsidRPr="00725EB1">
        <w:rPr>
          <w:rFonts w:ascii="Times New Roman" w:eastAsia="Times New Roman" w:hAnsi="Times New Roman" w:cs="Times New Roman"/>
          <w:b/>
          <w:sz w:val="24"/>
          <w:szCs w:val="24"/>
          <w:lang w:val="bg-BG" w:bidi="ar-SA"/>
        </w:rPr>
        <w:t>.</w:t>
      </w:r>
      <w:r w:rsidRPr="00725EB1">
        <w:rPr>
          <w:rFonts w:ascii="Times New Roman" w:eastAsia="Times New Roman" w:hAnsi="Times New Roman" w:cs="Times New Roman"/>
          <w:b/>
          <w:sz w:val="24"/>
          <w:szCs w:val="24"/>
          <w:lang w:val="bg-BG" w:bidi="ar-SA"/>
        </w:rPr>
        <w:t xml:space="preserve"> Възстановяване на неправомерно пре</w:t>
      </w:r>
      <w:r w:rsidRPr="00725EB1">
        <w:rPr>
          <w:rFonts w:ascii="Times New Roman" w:eastAsia="Times New Roman" w:hAnsi="Times New Roman" w:cs="Times New Roman"/>
          <w:b/>
          <w:sz w:val="24"/>
          <w:szCs w:val="24"/>
          <w:lang w:val="bg-BG" w:bidi="ar-SA"/>
        </w:rPr>
        <w:t>доставена помощ</w:t>
      </w:r>
    </w:p>
    <w:p w14:paraId="4CA8EF56" w14:textId="563DF68A" w:rsidR="003456CB" w:rsidRPr="00725EB1" w:rsidRDefault="003456CB" w:rsidP="003456CB">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7.1.</w:t>
      </w:r>
      <w:r w:rsidRPr="00725EB1">
        <w:rPr>
          <w:rFonts w:ascii="Times New Roman" w:eastAsia="Times New Roman" w:hAnsi="Times New Roman" w:cs="Times New Roman"/>
          <w:sz w:val="24"/>
          <w:szCs w:val="24"/>
          <w:lang w:val="bg-BG" w:bidi="ar-SA"/>
        </w:rPr>
        <w:tab/>
      </w:r>
      <w:r w:rsidR="00237290" w:rsidRPr="00725EB1">
        <w:rPr>
          <w:rFonts w:ascii="Times New Roman" w:eastAsia="Times New Roman" w:hAnsi="Times New Roman" w:cs="Times New Roman"/>
          <w:sz w:val="24"/>
          <w:szCs w:val="24"/>
          <w:lang w:val="bg-BG" w:bidi="ar-SA"/>
        </w:rPr>
        <w:t>В рамките на срока по чл. 9.8 от Приложение II във връзка с членове 9.4 - 9.6 от Приложение II, когато извършени и потвърдени от крайния получател, признати  за допустими и изплатени от СНД към крайния получател разходи впоследствие бъдат признати за недопустими от СНД, контролен или одитиращ орган, същите подлежат на възстановяване от крайния получател по установения за това ред.</w:t>
      </w:r>
    </w:p>
    <w:p w14:paraId="07F29016" w14:textId="784EEBF3" w:rsidR="003456CB" w:rsidRPr="00725EB1" w:rsidRDefault="003456CB" w:rsidP="003456CB">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7.2.</w:t>
      </w:r>
      <w:r w:rsidRPr="00725EB1">
        <w:rPr>
          <w:rFonts w:ascii="Times New Roman" w:eastAsia="Times New Roman" w:hAnsi="Times New Roman" w:cs="Times New Roman"/>
          <w:sz w:val="24"/>
          <w:szCs w:val="24"/>
          <w:lang w:val="bg-BG" w:bidi="ar-SA"/>
        </w:rPr>
        <w:tab/>
      </w:r>
      <w:r w:rsidR="00237290" w:rsidRPr="00725EB1">
        <w:rPr>
          <w:rFonts w:ascii="Times New Roman" w:eastAsia="Times New Roman" w:hAnsi="Times New Roman" w:cs="Times New Roman"/>
          <w:sz w:val="24"/>
          <w:szCs w:val="24"/>
          <w:lang w:val="bg-BG" w:bidi="ar-SA"/>
        </w:rPr>
        <w:t>Намаляването на плащанията по МВУ, в случаите на двойно финансиране, финансови или технически несъответствия в изпълнението на инвестицията, пропуски установени при проверка на ФТО, подаден от КП и довели до надплащане на разходи, се извършва чрез коригиране на финансирането, отпуснато с договора за предоставяне на средства от МВУ, а за бюджетните организации по смисъла на § 1, т. 5 от ДР на ЗПФ – и за невъзстановимия съгласно националното законодателство данък добавена стойност, което съгласно сключения договор за финансиране със СНД КП следва да получи.</w:t>
      </w:r>
    </w:p>
    <w:p w14:paraId="67733681" w14:textId="77777777" w:rsidR="00237290" w:rsidRPr="00725EB1" w:rsidRDefault="003456CB" w:rsidP="003456CB">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 xml:space="preserve">7.3. </w:t>
      </w:r>
      <w:r w:rsidRPr="00725EB1">
        <w:rPr>
          <w:rFonts w:ascii="Times New Roman" w:eastAsia="Times New Roman" w:hAnsi="Times New Roman" w:cs="Times New Roman"/>
          <w:sz w:val="24"/>
          <w:szCs w:val="24"/>
          <w:lang w:val="bg-BG" w:bidi="ar-SA"/>
        </w:rPr>
        <w:tab/>
      </w:r>
      <w:r w:rsidR="00237290" w:rsidRPr="00725EB1">
        <w:rPr>
          <w:rFonts w:ascii="Times New Roman" w:eastAsia="Times New Roman" w:hAnsi="Times New Roman" w:cs="Times New Roman"/>
          <w:sz w:val="24"/>
          <w:szCs w:val="24"/>
          <w:lang w:val="bg-BG" w:bidi="ar-SA"/>
        </w:rPr>
        <w:t>Извършените намаления по т. 7.2. на финансирането по договора следва да бъдат осигурени като собствен принос от КП.</w:t>
      </w:r>
    </w:p>
    <w:p w14:paraId="5CEB4C18" w14:textId="77777777" w:rsidR="00976AE1" w:rsidRPr="00725EB1" w:rsidRDefault="003456CB" w:rsidP="003456CB">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7.4.</w:t>
      </w:r>
      <w:r w:rsidRPr="00725EB1">
        <w:rPr>
          <w:rFonts w:ascii="Times New Roman" w:eastAsia="Times New Roman" w:hAnsi="Times New Roman" w:cs="Times New Roman"/>
          <w:sz w:val="24"/>
          <w:szCs w:val="24"/>
          <w:lang w:val="bg-BG" w:bidi="ar-SA"/>
        </w:rPr>
        <w:tab/>
      </w:r>
      <w:r w:rsidR="00976AE1" w:rsidRPr="00725EB1">
        <w:rPr>
          <w:rFonts w:ascii="Times New Roman" w:eastAsia="Times New Roman" w:hAnsi="Times New Roman" w:cs="Times New Roman"/>
          <w:sz w:val="24"/>
          <w:szCs w:val="24"/>
          <w:lang w:val="bg-BG" w:bidi="ar-SA"/>
        </w:rPr>
        <w:t>В  случаите, в които договорът е приключил, плащанията са вече извършени и СНД установи дължима/надплатена сума, същата подлежи на възстановяване на СНД, като възстановяването на недължимо платените и надплатените суми, както и на неправомерно получените или неправомерно усвоените средства ще се извършва в съответствие с установения ред, съгласно действащите нормативни актове.</w:t>
      </w:r>
    </w:p>
    <w:p w14:paraId="53333C99" w14:textId="77777777" w:rsidR="00976AE1" w:rsidRPr="00725EB1" w:rsidRDefault="003456CB" w:rsidP="003456CB">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7.5.</w:t>
      </w:r>
      <w:r w:rsidRPr="00725EB1">
        <w:rPr>
          <w:rFonts w:ascii="Times New Roman" w:eastAsia="Times New Roman" w:hAnsi="Times New Roman" w:cs="Times New Roman"/>
          <w:sz w:val="24"/>
          <w:szCs w:val="24"/>
          <w:lang w:val="bg-BG" w:bidi="ar-SA"/>
        </w:rPr>
        <w:tab/>
      </w:r>
      <w:r w:rsidR="00976AE1" w:rsidRPr="00725EB1">
        <w:rPr>
          <w:rFonts w:ascii="Times New Roman" w:eastAsia="Times New Roman" w:hAnsi="Times New Roman" w:cs="Times New Roman"/>
          <w:sz w:val="24"/>
          <w:szCs w:val="24"/>
          <w:lang w:val="bg-BG" w:bidi="ar-SA"/>
        </w:rPr>
        <w:t xml:space="preserve">В случаите на влязла в сила присъда за измама или корупция или влязъл в сила акт за установяване на конфликт на интереси, извършените плащания по засегнатата от сериозната нередност инвестиция или компонент от нея са дължими за </w:t>
      </w:r>
      <w:r w:rsidR="00976AE1" w:rsidRPr="00725EB1">
        <w:rPr>
          <w:rFonts w:ascii="Times New Roman" w:eastAsia="Times New Roman" w:hAnsi="Times New Roman" w:cs="Times New Roman"/>
          <w:sz w:val="24"/>
          <w:szCs w:val="24"/>
          <w:lang w:val="bg-BG" w:bidi="ar-SA"/>
        </w:rPr>
        <w:lastRenderedPageBreak/>
        <w:t>възстановяване от КП към държавния бюджет. Ако плащанията не са направени се извършва съответно намаляване на финансирането.</w:t>
      </w:r>
    </w:p>
    <w:p w14:paraId="3A7742B7" w14:textId="1338A48C" w:rsidR="003456CB" w:rsidRPr="00725EB1" w:rsidRDefault="003456CB" w:rsidP="003456CB">
      <w:pPr>
        <w:spacing w:after="24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7.6.</w:t>
      </w:r>
      <w:r w:rsidRPr="00725EB1">
        <w:rPr>
          <w:rFonts w:ascii="Times New Roman" w:eastAsia="Times New Roman" w:hAnsi="Times New Roman" w:cs="Times New Roman"/>
          <w:sz w:val="24"/>
          <w:szCs w:val="24"/>
          <w:lang w:val="bg-BG" w:bidi="ar-SA"/>
        </w:rPr>
        <w:tab/>
      </w:r>
      <w:r w:rsidR="00976AE1" w:rsidRPr="00725EB1">
        <w:rPr>
          <w:rFonts w:ascii="Times New Roman" w:eastAsia="Times New Roman" w:hAnsi="Times New Roman" w:cs="Times New Roman"/>
          <w:sz w:val="24"/>
          <w:szCs w:val="24"/>
          <w:lang w:val="bg-BG" w:bidi="ar-SA"/>
        </w:rPr>
        <w:t>За намалено финансиране и/или за надплатена сума със средства от МВУ и национално финансиране, или ангажимент за плащане на СНД по инвестицията, СНД информира КП, като надплатената сума подлежи на възстановяване към Министерството на финансите.</w:t>
      </w:r>
    </w:p>
    <w:p w14:paraId="0C472E57" w14:textId="6A39DBE2" w:rsidR="003456CB" w:rsidRPr="00725EB1" w:rsidRDefault="003456CB" w:rsidP="003456CB">
      <w:pPr>
        <w:spacing w:after="0" w:line="240" w:lineRule="auto"/>
        <w:ind w:left="567" w:hanging="567"/>
        <w:jc w:val="both"/>
        <w:rPr>
          <w:rFonts w:ascii="Times New Roman" w:eastAsia="Times New Roman" w:hAnsi="Times New Roman" w:cs="Times New Roman"/>
          <w:sz w:val="24"/>
          <w:szCs w:val="24"/>
          <w:lang w:val="bg-BG" w:bidi="ar-SA"/>
        </w:rPr>
      </w:pPr>
      <w:r w:rsidRPr="00725EB1">
        <w:rPr>
          <w:rFonts w:ascii="Times New Roman" w:eastAsia="Times New Roman" w:hAnsi="Times New Roman" w:cs="Times New Roman"/>
          <w:sz w:val="24"/>
          <w:szCs w:val="24"/>
          <w:lang w:val="bg-BG" w:bidi="ar-SA"/>
        </w:rPr>
        <w:t>7.7.</w:t>
      </w:r>
      <w:r w:rsidRPr="00725EB1">
        <w:rPr>
          <w:rFonts w:ascii="Times New Roman" w:eastAsia="Times New Roman" w:hAnsi="Times New Roman" w:cs="Times New Roman"/>
          <w:sz w:val="24"/>
          <w:szCs w:val="24"/>
          <w:lang w:val="bg-BG" w:bidi="ar-SA"/>
        </w:rPr>
        <w:tab/>
      </w:r>
      <w:r w:rsidR="00976AE1" w:rsidRPr="00725EB1">
        <w:rPr>
          <w:rFonts w:ascii="Times New Roman" w:eastAsia="Times New Roman" w:hAnsi="Times New Roman" w:cs="Times New Roman"/>
          <w:sz w:val="24"/>
          <w:szCs w:val="24"/>
          <w:lang w:val="bg-BG" w:bidi="ar-SA"/>
        </w:rPr>
        <w:t>Сумите, включително лихвите по тях, подлежащи на възстановяване от КП, могат да бъдат прихванати от всякакви суми, дължими от СНД към КП по договора за предоставяне на средства от МВУ, а при липса на такива -  задълженията се предават за събиране от Националната агенция по приходите, а за бюджетните организации се прилагат разпоредбите на ЗПФ.</w:t>
      </w:r>
    </w:p>
    <w:p w14:paraId="21C97A80" w14:textId="77777777" w:rsidR="003456CB" w:rsidRPr="00725EB1" w:rsidRDefault="003456CB" w:rsidP="003456CB">
      <w:pPr>
        <w:tabs>
          <w:tab w:val="left" w:pos="-1440"/>
          <w:tab w:val="left" w:pos="-720"/>
        </w:tabs>
        <w:spacing w:after="120" w:line="240" w:lineRule="auto"/>
        <w:jc w:val="both"/>
        <w:rPr>
          <w:rFonts w:ascii="Cambria" w:eastAsia="Times New Roman" w:hAnsi="Cambria" w:cs="Times New Roman"/>
          <w:sz w:val="23"/>
          <w:szCs w:val="23"/>
          <w:lang w:val="bg-BG" w:bidi="ar-SA"/>
        </w:rPr>
      </w:pPr>
    </w:p>
    <w:p w14:paraId="496D517F" w14:textId="78A7372A" w:rsidR="003456CB" w:rsidRPr="00725EB1" w:rsidRDefault="003456CB" w:rsidP="003456CB">
      <w:pPr>
        <w:spacing w:after="120" w:line="240" w:lineRule="auto"/>
        <w:ind w:left="567" w:hanging="567"/>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Член 8. </w:t>
      </w:r>
      <w:r w:rsidR="00976AE1" w:rsidRPr="00725EB1">
        <w:rPr>
          <w:rFonts w:ascii="Times New Roman" w:hAnsi="Times New Roman" w:cs="Times New Roman"/>
          <w:b/>
          <w:bCs/>
          <w:sz w:val="24"/>
          <w:szCs w:val="24"/>
          <w:lang w:val="bg-BG"/>
        </w:rPr>
        <w:t xml:space="preserve">Публичност. </w:t>
      </w:r>
      <w:r w:rsidRPr="00725EB1">
        <w:rPr>
          <w:rFonts w:ascii="Cambria" w:eastAsia="Times New Roman" w:hAnsi="Cambria" w:cs="Times New Roman"/>
          <w:b/>
          <w:sz w:val="23"/>
          <w:szCs w:val="23"/>
          <w:lang w:val="bg-BG" w:bidi="ar-SA"/>
        </w:rPr>
        <w:t>Адреси за кореспонденция</w:t>
      </w:r>
    </w:p>
    <w:tbl>
      <w:tblPr>
        <w:tblW w:w="0" w:type="auto"/>
        <w:tblInd w:w="-34" w:type="dxa"/>
        <w:tblLayout w:type="fixed"/>
        <w:tblLook w:val="04A0" w:firstRow="1" w:lastRow="0" w:firstColumn="1" w:lastColumn="0" w:noHBand="0" w:noVBand="1"/>
      </w:tblPr>
      <w:tblGrid>
        <w:gridCol w:w="709"/>
        <w:gridCol w:w="8895"/>
      </w:tblGrid>
      <w:tr w:rsidR="003456CB" w:rsidRPr="00725EB1" w14:paraId="386BFF60" w14:textId="77777777" w:rsidTr="004D6B5B">
        <w:tc>
          <w:tcPr>
            <w:tcW w:w="709" w:type="dxa"/>
            <w:shd w:val="clear" w:color="auto" w:fill="auto"/>
          </w:tcPr>
          <w:p w14:paraId="01DC5C8B" w14:textId="77777777" w:rsidR="003456CB" w:rsidRPr="00725EB1" w:rsidRDefault="003456CB" w:rsidP="004D6B5B">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8.1.</w:t>
            </w:r>
          </w:p>
        </w:tc>
        <w:tc>
          <w:tcPr>
            <w:tcW w:w="8895" w:type="dxa"/>
            <w:shd w:val="clear" w:color="auto" w:fill="auto"/>
          </w:tcPr>
          <w:p w14:paraId="3057E733" w14:textId="7B535487" w:rsidR="00976AE1" w:rsidRPr="00725EB1" w:rsidRDefault="00976AE1"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КП да посочва Механизма за възстановяване и устойчивост като източник на финансиране на инвестицията и да осигуряват видимост, включително чрез поставяне на емблемата на Съюза и на подходящо указание за финансирането, например „финансирано от Европейския съюз – NextGenerationEU".</w:t>
            </w:r>
          </w:p>
          <w:p w14:paraId="7DD6E715" w14:textId="6F6F9FF0"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p>
        </w:tc>
      </w:tr>
      <w:tr w:rsidR="00976AE1" w:rsidRPr="00725EB1" w14:paraId="19278514" w14:textId="77777777" w:rsidTr="004D6B5B">
        <w:tc>
          <w:tcPr>
            <w:tcW w:w="709" w:type="dxa"/>
            <w:shd w:val="clear" w:color="auto" w:fill="auto"/>
          </w:tcPr>
          <w:p w14:paraId="0406FE45" w14:textId="1B554E86" w:rsidR="00976AE1" w:rsidRPr="00725EB1" w:rsidRDefault="00976AE1" w:rsidP="004D6B5B">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8.2</w:t>
            </w:r>
          </w:p>
          <w:p w14:paraId="00501B91" w14:textId="77777777" w:rsidR="00976AE1" w:rsidRPr="00725EB1" w:rsidRDefault="00976AE1" w:rsidP="004D6B5B">
            <w:pPr>
              <w:spacing w:after="120" w:line="240" w:lineRule="auto"/>
              <w:ind w:left="34"/>
              <w:rPr>
                <w:rFonts w:ascii="Cambria" w:eastAsia="Times New Roman" w:hAnsi="Cambria" w:cs="Times New Roman"/>
                <w:bCs/>
                <w:sz w:val="23"/>
                <w:szCs w:val="23"/>
                <w:lang w:val="bg-BG" w:bidi="ar-SA"/>
              </w:rPr>
            </w:pPr>
          </w:p>
        </w:tc>
        <w:tc>
          <w:tcPr>
            <w:tcW w:w="8895" w:type="dxa"/>
            <w:shd w:val="clear" w:color="auto" w:fill="auto"/>
          </w:tcPr>
          <w:p w14:paraId="1C3E3297" w14:textId="5775620E" w:rsidR="00976AE1" w:rsidRPr="00725EB1" w:rsidRDefault="00976AE1" w:rsidP="00976AE1">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за ПВУ.</w:t>
            </w:r>
          </w:p>
        </w:tc>
      </w:tr>
      <w:tr w:rsidR="003456CB" w:rsidRPr="00725EB1" w14:paraId="4D1E6132" w14:textId="77777777" w:rsidTr="004D6B5B">
        <w:tc>
          <w:tcPr>
            <w:tcW w:w="709" w:type="dxa"/>
            <w:shd w:val="clear" w:color="auto" w:fill="auto"/>
          </w:tcPr>
          <w:p w14:paraId="2230E244" w14:textId="1348F0D8" w:rsidR="003456CB" w:rsidRPr="00725EB1" w:rsidRDefault="00976AE1" w:rsidP="004D6B5B">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8.3</w:t>
            </w:r>
            <w:r w:rsidR="003456CB" w:rsidRPr="00725EB1">
              <w:rPr>
                <w:rFonts w:ascii="Cambria" w:eastAsia="Times New Roman" w:hAnsi="Cambria" w:cs="Times New Roman"/>
                <w:bCs/>
                <w:sz w:val="23"/>
                <w:szCs w:val="23"/>
                <w:lang w:val="bg-BG" w:bidi="ar-SA"/>
              </w:rPr>
              <w:t>.</w:t>
            </w:r>
          </w:p>
        </w:tc>
        <w:tc>
          <w:tcPr>
            <w:tcW w:w="8895" w:type="dxa"/>
            <w:shd w:val="clear" w:color="auto" w:fill="auto"/>
          </w:tcPr>
          <w:p w14:paraId="4864FCC1" w14:textId="77777777" w:rsidR="003456CB" w:rsidRPr="00725EB1" w:rsidRDefault="003456CB" w:rsidP="003456CB">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Страни по договора за финансиране могат да осъществяват кореспонденция и  на следните адреси:</w:t>
            </w:r>
          </w:p>
          <w:tbl>
            <w:tblPr>
              <w:tblW w:w="0" w:type="auto"/>
              <w:tblInd w:w="37" w:type="dxa"/>
              <w:tblLayout w:type="fixed"/>
              <w:tblLook w:val="04A0" w:firstRow="1" w:lastRow="0" w:firstColumn="1" w:lastColumn="0" w:noHBand="0" w:noVBand="1"/>
            </w:tblPr>
            <w:tblGrid>
              <w:gridCol w:w="2974"/>
              <w:gridCol w:w="5451"/>
            </w:tblGrid>
            <w:tr w:rsidR="003456CB" w:rsidRPr="00725EB1" w14:paraId="0FFA2EA6" w14:textId="77777777" w:rsidTr="004D6B5B">
              <w:tc>
                <w:tcPr>
                  <w:tcW w:w="2974" w:type="dxa"/>
                  <w:shd w:val="clear" w:color="auto" w:fill="auto"/>
                </w:tcPr>
                <w:p w14:paraId="65415ED7"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Ръководителя на СНД:</w:t>
                  </w:r>
                </w:p>
              </w:tc>
              <w:tc>
                <w:tcPr>
                  <w:tcW w:w="5451" w:type="dxa"/>
                  <w:shd w:val="clear" w:color="auto" w:fill="auto"/>
                </w:tcPr>
                <w:p w14:paraId="17E03912" w14:textId="790024FC" w:rsidR="003456CB" w:rsidRPr="00725EB1" w:rsidRDefault="004D6B5B" w:rsidP="004D6B5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i/>
                      <w:iCs/>
                      <w:sz w:val="23"/>
                      <w:szCs w:val="23"/>
                      <w:lang w:val="bg-BG" w:bidi="ar-SA"/>
                    </w:rPr>
                    <w:t xml:space="preserve">Българска академия на науките, </w:t>
                  </w:r>
                  <w:r w:rsidRPr="00725EB1">
                    <w:rPr>
                      <w:rFonts w:ascii="Cambria" w:eastAsia="Times New Roman" w:hAnsi="Cambria" w:cs="Times New Roman"/>
                      <w:sz w:val="23"/>
                      <w:szCs w:val="23"/>
                      <w:lang w:val="bg-BG" w:bidi="ar-SA"/>
                    </w:rPr>
                    <w:t>София, 1040, ул. „15 ноември“ №1</w:t>
                  </w:r>
                  <w:r w:rsidRPr="00725EB1">
                    <w:rPr>
                      <w:rFonts w:ascii="Cambria" w:eastAsia="Times New Roman" w:hAnsi="Cambria" w:cs="Times New Roman"/>
                      <w:i/>
                      <w:iCs/>
                      <w:sz w:val="23"/>
                      <w:szCs w:val="23"/>
                      <w:lang w:val="en-GB" w:bidi="ar-SA"/>
                    </w:rPr>
                    <w:t xml:space="preserve">, </w:t>
                  </w:r>
                </w:p>
              </w:tc>
            </w:tr>
            <w:tr w:rsidR="003456CB" w:rsidRPr="00725EB1" w14:paraId="5F90F7CD" w14:textId="77777777" w:rsidTr="004D6B5B">
              <w:tc>
                <w:tcPr>
                  <w:tcW w:w="2974" w:type="dxa"/>
                  <w:shd w:val="clear" w:color="auto" w:fill="auto"/>
                </w:tcPr>
                <w:p w14:paraId="0BDC583F"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За Крайния получател:</w:t>
                  </w:r>
                </w:p>
              </w:tc>
              <w:tc>
                <w:tcPr>
                  <w:tcW w:w="5451" w:type="dxa"/>
                  <w:shd w:val="clear" w:color="auto" w:fill="auto"/>
                </w:tcPr>
                <w:p w14:paraId="1F32165F"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w:t>
                  </w:r>
                  <w:r w:rsidRPr="00725EB1">
                    <w:rPr>
                      <w:rFonts w:ascii="Cambria" w:eastAsia="Times New Roman" w:hAnsi="Cambria" w:cs="Times New Roman"/>
                      <w:i/>
                      <w:iCs/>
                      <w:sz w:val="23"/>
                      <w:szCs w:val="23"/>
                      <w:lang w:val="bg-BG" w:bidi="ar-SA"/>
                    </w:rPr>
                    <w:t>адрес за кореспонденция на крайния получател</w:t>
                  </w:r>
                  <w:r w:rsidRPr="00725EB1">
                    <w:rPr>
                      <w:rFonts w:ascii="Cambria" w:eastAsia="Times New Roman" w:hAnsi="Cambria" w:cs="Times New Roman"/>
                      <w:sz w:val="23"/>
                      <w:szCs w:val="23"/>
                      <w:lang w:val="bg-BG" w:bidi="ar-SA"/>
                    </w:rPr>
                    <w:t>]</w:t>
                  </w:r>
                </w:p>
              </w:tc>
            </w:tr>
          </w:tbl>
          <w:p w14:paraId="577F63A4" w14:textId="77777777" w:rsidR="003456CB" w:rsidRPr="00725EB1" w:rsidRDefault="003456CB" w:rsidP="003456CB">
            <w:pPr>
              <w:spacing w:after="120" w:line="240" w:lineRule="auto"/>
              <w:ind w:left="37"/>
              <w:jc w:val="both"/>
              <w:rPr>
                <w:rFonts w:ascii="Cambria" w:eastAsia="Times New Roman" w:hAnsi="Cambria" w:cs="Times New Roman"/>
                <w:bCs/>
                <w:sz w:val="23"/>
                <w:szCs w:val="23"/>
                <w:lang w:val="bg-BG" w:bidi="ar-SA"/>
              </w:rPr>
            </w:pPr>
          </w:p>
        </w:tc>
      </w:tr>
    </w:tbl>
    <w:p w14:paraId="2183941B" w14:textId="77777777" w:rsidR="003456CB" w:rsidRPr="00725EB1" w:rsidRDefault="003456CB" w:rsidP="003456CB">
      <w:pPr>
        <w:spacing w:after="120" w:line="240" w:lineRule="auto"/>
        <w:ind w:left="567" w:hanging="567"/>
        <w:jc w:val="both"/>
        <w:rPr>
          <w:rFonts w:ascii="Cambria" w:eastAsia="Times New Roman" w:hAnsi="Cambria" w:cs="Times New Roman"/>
          <w:sz w:val="23"/>
          <w:szCs w:val="23"/>
          <w:lang w:val="bg-BG" w:bidi="ar-SA"/>
        </w:rPr>
      </w:pPr>
    </w:p>
    <w:p w14:paraId="4FD59A96" w14:textId="42EF792F" w:rsidR="003456CB" w:rsidRPr="00725EB1" w:rsidRDefault="003456CB" w:rsidP="003456CB">
      <w:pPr>
        <w:spacing w:after="120" w:line="240" w:lineRule="auto"/>
        <w:ind w:left="567" w:hanging="567"/>
        <w:jc w:val="both"/>
        <w:rPr>
          <w:rFonts w:ascii="Cambria" w:eastAsia="Times New Roman" w:hAnsi="Cambria" w:cs="Times New Roman"/>
          <w:b/>
          <w:i/>
          <w:sz w:val="23"/>
          <w:szCs w:val="23"/>
          <w:lang w:val="bg-BG" w:bidi="ar-SA"/>
        </w:rPr>
      </w:pPr>
      <w:r w:rsidRPr="00725EB1">
        <w:rPr>
          <w:rFonts w:ascii="Cambria" w:eastAsia="Times New Roman" w:hAnsi="Cambria" w:cs="Times New Roman"/>
          <w:b/>
          <w:sz w:val="23"/>
          <w:szCs w:val="23"/>
          <w:lang w:val="bg-BG" w:bidi="ar-SA"/>
        </w:rPr>
        <w:t>Член</w:t>
      </w:r>
      <w:r w:rsidR="00BB7553" w:rsidRPr="00725EB1">
        <w:rPr>
          <w:rFonts w:ascii="Cambria" w:eastAsia="Times New Roman" w:hAnsi="Cambria" w:cs="Times New Roman"/>
          <w:b/>
          <w:sz w:val="23"/>
          <w:szCs w:val="23"/>
          <w:lang w:val="bg-BG" w:bidi="ar-SA"/>
        </w:rPr>
        <w:t xml:space="preserve"> </w:t>
      </w:r>
      <w:r w:rsidRPr="00725EB1">
        <w:rPr>
          <w:rFonts w:ascii="Cambria" w:eastAsia="Times New Roman" w:hAnsi="Cambria" w:cs="Times New Roman"/>
          <w:b/>
          <w:sz w:val="23"/>
          <w:szCs w:val="23"/>
          <w:lang w:val="bg-BG" w:bidi="ar-SA"/>
        </w:rPr>
        <w:t xml:space="preserve">9. Приложения </w:t>
      </w:r>
    </w:p>
    <w:tbl>
      <w:tblPr>
        <w:tblW w:w="0" w:type="auto"/>
        <w:tblInd w:w="-34" w:type="dxa"/>
        <w:tblLayout w:type="fixed"/>
        <w:tblLook w:val="04A0" w:firstRow="1" w:lastRow="0" w:firstColumn="1" w:lastColumn="0" w:noHBand="0" w:noVBand="1"/>
      </w:tblPr>
      <w:tblGrid>
        <w:gridCol w:w="851"/>
        <w:gridCol w:w="8753"/>
      </w:tblGrid>
      <w:tr w:rsidR="003456CB" w:rsidRPr="00725EB1" w14:paraId="5C33A0EB" w14:textId="77777777" w:rsidTr="00A81E1A">
        <w:trPr>
          <w:trHeight w:val="2277"/>
        </w:trPr>
        <w:tc>
          <w:tcPr>
            <w:tcW w:w="851" w:type="dxa"/>
            <w:shd w:val="clear" w:color="auto" w:fill="auto"/>
          </w:tcPr>
          <w:p w14:paraId="509850F8" w14:textId="77777777" w:rsidR="003456CB" w:rsidRPr="00725EB1" w:rsidRDefault="003456CB" w:rsidP="004D6B5B">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9.1.</w:t>
            </w:r>
          </w:p>
        </w:tc>
        <w:tc>
          <w:tcPr>
            <w:tcW w:w="8753" w:type="dxa"/>
            <w:shd w:val="clear" w:color="auto" w:fill="auto"/>
          </w:tcPr>
          <w:p w14:paraId="7E672A2F" w14:textId="77777777" w:rsidR="003456CB" w:rsidRPr="00725EB1" w:rsidRDefault="003456CB" w:rsidP="003456CB">
            <w:pPr>
              <w:spacing w:after="120" w:line="240" w:lineRule="auto"/>
              <w:ind w:left="37"/>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Следните документи представляват приложения към настоящия договор и са неразделна част от него:</w:t>
            </w:r>
          </w:p>
          <w:tbl>
            <w:tblPr>
              <w:tblW w:w="8643" w:type="dxa"/>
              <w:tblInd w:w="37" w:type="dxa"/>
              <w:tblLayout w:type="fixed"/>
              <w:tblLook w:val="04A0" w:firstRow="1" w:lastRow="0" w:firstColumn="1" w:lastColumn="0" w:noHBand="0" w:noVBand="1"/>
            </w:tblPr>
            <w:tblGrid>
              <w:gridCol w:w="1981"/>
              <w:gridCol w:w="6662"/>
            </w:tblGrid>
            <w:tr w:rsidR="003456CB" w:rsidRPr="00725EB1" w14:paraId="4B4C435C" w14:textId="77777777" w:rsidTr="00A81E1A">
              <w:tc>
                <w:tcPr>
                  <w:tcW w:w="1981" w:type="dxa"/>
                  <w:shd w:val="clear" w:color="auto" w:fill="auto"/>
                </w:tcPr>
                <w:p w14:paraId="56CA4316"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w:t>
                  </w:r>
                </w:p>
              </w:tc>
              <w:tc>
                <w:tcPr>
                  <w:tcW w:w="6662" w:type="dxa"/>
                  <w:shd w:val="clear" w:color="auto" w:fill="auto"/>
                </w:tcPr>
                <w:p w14:paraId="287C8021" w14:textId="62AB0D97" w:rsidR="003456CB" w:rsidRPr="00725EB1" w:rsidRDefault="003456CB" w:rsidP="00976AE1">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Описание на одобрената инвестиция (предложението на крайния получател за изпълнение на инвестицията - формуляр за кандидатстване, подаден в ИС </w:t>
                  </w:r>
                  <w:r w:rsidR="00976AE1" w:rsidRPr="00725EB1">
                    <w:rPr>
                      <w:rFonts w:ascii="Cambria" w:eastAsia="Times New Roman" w:hAnsi="Cambria" w:cs="Times New Roman"/>
                      <w:sz w:val="23"/>
                      <w:szCs w:val="23"/>
                      <w:lang w:val="bg-BG" w:bidi="ar-SA"/>
                    </w:rPr>
                    <w:t>з</w:t>
                  </w:r>
                  <w:r w:rsidRPr="00725EB1">
                    <w:rPr>
                      <w:rFonts w:ascii="Cambria" w:eastAsia="Times New Roman" w:hAnsi="Cambria" w:cs="Times New Roman"/>
                      <w:sz w:val="23"/>
                      <w:szCs w:val="23"/>
                      <w:lang w:val="bg-BG" w:bidi="ar-SA"/>
                    </w:rPr>
                    <w:t xml:space="preserve">а </w:t>
                  </w:r>
                  <w:r w:rsidR="00976AE1" w:rsidRPr="00725EB1">
                    <w:rPr>
                      <w:rFonts w:ascii="Cambria" w:eastAsia="Times New Roman" w:hAnsi="Cambria" w:cs="Times New Roman"/>
                      <w:sz w:val="23"/>
                      <w:szCs w:val="23"/>
                      <w:lang w:val="bg-BG" w:bidi="ar-SA"/>
                    </w:rPr>
                    <w:t>П</w:t>
                  </w:r>
                  <w:r w:rsidRPr="00725EB1">
                    <w:rPr>
                      <w:rFonts w:ascii="Cambria" w:eastAsia="Times New Roman" w:hAnsi="Cambria" w:cs="Times New Roman"/>
                      <w:sz w:val="23"/>
                      <w:szCs w:val="23"/>
                      <w:lang w:val="bg-BG" w:bidi="ar-SA"/>
                    </w:rPr>
                    <w:t>ВУ, ведно с приложените към него документи), във вида, в който е окончателно одобрен от СНД след съответните корекции, ако такива са били извършвани</w:t>
                  </w:r>
                </w:p>
              </w:tc>
            </w:tr>
            <w:tr w:rsidR="003456CB" w:rsidRPr="00725EB1" w14:paraId="64F4EFD4" w14:textId="77777777" w:rsidTr="00A81E1A">
              <w:tc>
                <w:tcPr>
                  <w:tcW w:w="1981" w:type="dxa"/>
                  <w:shd w:val="clear" w:color="auto" w:fill="auto"/>
                </w:tcPr>
                <w:p w14:paraId="47C1044D"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w:t>
                  </w:r>
                </w:p>
              </w:tc>
              <w:tc>
                <w:tcPr>
                  <w:tcW w:w="6662" w:type="dxa"/>
                  <w:shd w:val="clear" w:color="auto" w:fill="auto"/>
                </w:tcPr>
                <w:p w14:paraId="52CEDCAE" w14:textId="3C72F0DE"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Общи условия към договорите за финансиране по Механизма за възстановяване и устойчивост  </w:t>
                  </w:r>
                  <w:r w:rsidR="00976AE1" w:rsidRPr="00725EB1">
                    <w:rPr>
                      <w:rFonts w:ascii="Cambria" w:eastAsia="Times New Roman" w:hAnsi="Cambria" w:cs="Times New Roman"/>
                      <w:sz w:val="23"/>
                      <w:szCs w:val="23"/>
                      <w:lang w:val="bg-BG" w:bidi="ar-SA"/>
                    </w:rPr>
                    <w:t>(в електронен вариант в ИС за ПВУ);</w:t>
                  </w:r>
                </w:p>
              </w:tc>
            </w:tr>
            <w:tr w:rsidR="003456CB" w:rsidRPr="00725EB1" w14:paraId="04DDDE80" w14:textId="77777777" w:rsidTr="00A81E1A">
              <w:tc>
                <w:tcPr>
                  <w:tcW w:w="1981" w:type="dxa"/>
                  <w:shd w:val="clear" w:color="auto" w:fill="auto"/>
                </w:tcPr>
                <w:p w14:paraId="23A17215"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Приложение III:</w:t>
                  </w:r>
                </w:p>
              </w:tc>
              <w:tc>
                <w:tcPr>
                  <w:tcW w:w="6662" w:type="dxa"/>
                  <w:shd w:val="clear" w:color="auto" w:fill="auto"/>
                </w:tcPr>
                <w:p w14:paraId="3452C820" w14:textId="48592CCB" w:rsidR="00976AE1" w:rsidRPr="00725EB1" w:rsidRDefault="00976AE1" w:rsidP="00774059">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Покана за участие в процедура „</w:t>
                  </w:r>
                  <w:r w:rsidR="00F938BF" w:rsidRPr="00725EB1">
                    <w:rPr>
                      <w:rFonts w:ascii="Cambria" w:eastAsia="Times New Roman" w:hAnsi="Cambria" w:cs="Times New Roman"/>
                      <w:sz w:val="23"/>
                      <w:szCs w:val="23"/>
                      <w:lang w:val="bg-BG" w:bidi="ar-SA"/>
                    </w:rPr>
                    <w:t>Надграждане на Единния център за иновации на БАН</w:t>
                  </w:r>
                  <w:r w:rsidRPr="00725EB1">
                    <w:rPr>
                      <w:rFonts w:ascii="Cambria" w:eastAsia="Times New Roman" w:hAnsi="Cambria" w:cs="Times New Roman"/>
                      <w:sz w:val="23"/>
                      <w:szCs w:val="23"/>
                      <w:lang w:val="bg-BG" w:bidi="ar-SA"/>
                    </w:rPr>
                    <w:t>“ за директно предоставяне на средства на  краен получател Единен център за иновации – БАН.</w:t>
                  </w:r>
                </w:p>
                <w:p w14:paraId="03A24FD9" w14:textId="201845EF" w:rsidR="003456CB" w:rsidRPr="00725EB1" w:rsidRDefault="003456CB" w:rsidP="00774059">
                  <w:pPr>
                    <w:spacing w:after="120" w:line="240" w:lineRule="auto"/>
                    <w:jc w:val="both"/>
                    <w:rPr>
                      <w:rFonts w:ascii="Cambria" w:eastAsia="Times New Roman" w:hAnsi="Cambria" w:cs="Times New Roman"/>
                      <w:sz w:val="23"/>
                      <w:szCs w:val="23"/>
                      <w:lang w:val="bg-BG" w:bidi="ar-SA"/>
                    </w:rPr>
                  </w:pPr>
                </w:p>
              </w:tc>
            </w:tr>
          </w:tbl>
          <w:p w14:paraId="6A15AA50" w14:textId="77777777" w:rsidR="003456CB" w:rsidRPr="00725EB1" w:rsidRDefault="003456CB" w:rsidP="003456CB">
            <w:pPr>
              <w:spacing w:after="120" w:line="240" w:lineRule="auto"/>
              <w:ind w:left="2160" w:hanging="2160"/>
              <w:jc w:val="both"/>
              <w:rPr>
                <w:rFonts w:ascii="Cambria" w:eastAsia="Times New Roman" w:hAnsi="Cambria" w:cs="Times New Roman"/>
                <w:bCs/>
                <w:sz w:val="23"/>
                <w:szCs w:val="23"/>
                <w:lang w:val="bg-BG" w:bidi="ar-SA"/>
              </w:rPr>
            </w:pPr>
          </w:p>
        </w:tc>
      </w:tr>
      <w:tr w:rsidR="003456CB" w:rsidRPr="00725EB1" w14:paraId="2DEE35CF" w14:textId="77777777" w:rsidTr="00A81E1A">
        <w:tc>
          <w:tcPr>
            <w:tcW w:w="851" w:type="dxa"/>
            <w:shd w:val="clear" w:color="auto" w:fill="auto"/>
          </w:tcPr>
          <w:p w14:paraId="43B139C1" w14:textId="77777777" w:rsidR="003456CB" w:rsidRPr="00725EB1" w:rsidRDefault="003456CB" w:rsidP="00A81E1A">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9.2.</w:t>
            </w:r>
          </w:p>
        </w:tc>
        <w:tc>
          <w:tcPr>
            <w:tcW w:w="8753" w:type="dxa"/>
            <w:shd w:val="clear" w:color="auto" w:fill="auto"/>
          </w:tcPr>
          <w:p w14:paraId="0101678D" w14:textId="77777777"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 xml:space="preserve">В случай на противоречие между разпоредбите на Приложенията и тези на настоящия договор, с предимство се прилагат разпоредбите на договора. В </w:t>
            </w:r>
            <w:r w:rsidRPr="00725EB1">
              <w:rPr>
                <w:rFonts w:ascii="Cambria" w:eastAsia="Times New Roman" w:hAnsi="Cambria" w:cs="Times New Roman"/>
                <w:sz w:val="23"/>
                <w:szCs w:val="23"/>
                <w:lang w:val="bg-BG" w:bidi="ar-SA"/>
              </w:rPr>
              <w:lastRenderedPageBreak/>
              <w:t>случай на противоречие между разпоредбите на Приложение II и тези на другите приложения, с предимство се прилагат разпоредбите на Приложение II.</w:t>
            </w:r>
          </w:p>
        </w:tc>
      </w:tr>
    </w:tbl>
    <w:p w14:paraId="269318C6" w14:textId="77777777" w:rsidR="003456CB" w:rsidRPr="00725EB1" w:rsidRDefault="003456CB" w:rsidP="003456CB">
      <w:pPr>
        <w:spacing w:after="120" w:line="240" w:lineRule="auto"/>
        <w:ind w:left="567" w:hanging="567"/>
        <w:jc w:val="both"/>
        <w:rPr>
          <w:rFonts w:ascii="Cambria" w:eastAsia="Times New Roman" w:hAnsi="Cambria" w:cs="Times New Roman"/>
          <w:sz w:val="23"/>
          <w:szCs w:val="23"/>
          <w:lang w:val="bg-BG" w:bidi="ar-SA"/>
        </w:rPr>
      </w:pPr>
    </w:p>
    <w:p w14:paraId="742A2959" w14:textId="77777777" w:rsidR="003456CB" w:rsidRPr="00725EB1" w:rsidRDefault="003456CB" w:rsidP="003456CB">
      <w:pPr>
        <w:spacing w:after="120" w:line="240" w:lineRule="auto"/>
        <w:jc w:val="both"/>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Член 10. Други условия по Договора</w:t>
      </w:r>
    </w:p>
    <w:tbl>
      <w:tblPr>
        <w:tblW w:w="0" w:type="auto"/>
        <w:tblInd w:w="-34" w:type="dxa"/>
        <w:tblLook w:val="04A0" w:firstRow="1" w:lastRow="0" w:firstColumn="1" w:lastColumn="0" w:noHBand="0" w:noVBand="1"/>
      </w:tblPr>
      <w:tblGrid>
        <w:gridCol w:w="680"/>
        <w:gridCol w:w="8924"/>
      </w:tblGrid>
      <w:tr w:rsidR="003456CB" w:rsidRPr="00725EB1" w14:paraId="24D6FA6C" w14:textId="77777777" w:rsidTr="00BB7553">
        <w:tc>
          <w:tcPr>
            <w:tcW w:w="568" w:type="dxa"/>
            <w:shd w:val="clear" w:color="auto" w:fill="auto"/>
          </w:tcPr>
          <w:p w14:paraId="1081337C" w14:textId="63E5013E" w:rsidR="003456CB" w:rsidRPr="00725EB1" w:rsidRDefault="00A81E1A" w:rsidP="00A81E1A">
            <w:pPr>
              <w:spacing w:after="120" w:line="240" w:lineRule="auto"/>
              <w:ind w:left="34"/>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w:t>
            </w:r>
          </w:p>
        </w:tc>
        <w:tc>
          <w:tcPr>
            <w:tcW w:w="8930" w:type="dxa"/>
            <w:shd w:val="clear" w:color="auto" w:fill="auto"/>
          </w:tcPr>
          <w:p w14:paraId="47A0C662"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Общите условия – Приложение ІІ към договора се допълват, както следва:</w:t>
            </w:r>
          </w:p>
          <w:tbl>
            <w:tblPr>
              <w:tblW w:w="0" w:type="auto"/>
              <w:tblLook w:val="04A0" w:firstRow="1" w:lastRow="0" w:firstColumn="1" w:lastColumn="0" w:noHBand="0" w:noVBand="1"/>
            </w:tblPr>
            <w:tblGrid>
              <w:gridCol w:w="912"/>
              <w:gridCol w:w="7764"/>
            </w:tblGrid>
            <w:tr w:rsidR="006E5A12" w:rsidRPr="00725EB1" w14:paraId="250C6E28" w14:textId="77777777" w:rsidTr="00BB7553">
              <w:tc>
                <w:tcPr>
                  <w:tcW w:w="881" w:type="dxa"/>
                  <w:shd w:val="clear" w:color="auto" w:fill="auto"/>
                </w:tcPr>
                <w:p w14:paraId="122EB186" w14:textId="7116553E" w:rsidR="006E5A12" w:rsidRPr="00725EB1" w:rsidRDefault="006E5A12" w:rsidP="00A81E1A">
                  <w:pPr>
                    <w:spacing w:after="120" w:line="240" w:lineRule="auto"/>
                    <w:ind w:left="92"/>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10.1.1</w:t>
                  </w:r>
                </w:p>
              </w:tc>
              <w:tc>
                <w:tcPr>
                  <w:tcW w:w="7730" w:type="dxa"/>
                  <w:shd w:val="clear" w:color="auto" w:fill="auto"/>
                </w:tcPr>
                <w:p w14:paraId="20226674" w14:textId="77777777" w:rsidR="006E5A12" w:rsidRPr="00725EB1" w:rsidRDefault="006E5A12"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9.9 със следното съдържание:</w:t>
                  </w:r>
                </w:p>
                <w:p w14:paraId="245D2977" w14:textId="1F7205FF" w:rsidR="006E5A12" w:rsidRPr="00725EB1" w:rsidRDefault="006E5A12"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9.9. Крайният получател се задължава да поддържа актуален регистър, съдържащ информация за местонахождението на оригиналните документи по проекта и отговорното лице за тяхното съхранение в сроковете по предходната точка.</w:t>
                  </w:r>
                </w:p>
              </w:tc>
            </w:tr>
            <w:tr w:rsidR="006E5A12" w:rsidRPr="00725EB1" w14:paraId="0269B11B" w14:textId="77777777" w:rsidTr="00BB7553">
              <w:tc>
                <w:tcPr>
                  <w:tcW w:w="881" w:type="dxa"/>
                  <w:shd w:val="clear" w:color="auto" w:fill="auto"/>
                </w:tcPr>
                <w:p w14:paraId="5A006ECD" w14:textId="6F708E87" w:rsidR="006E5A12" w:rsidRPr="00725EB1" w:rsidRDefault="006E5A12" w:rsidP="00A81E1A">
                  <w:pPr>
                    <w:spacing w:after="120" w:line="240" w:lineRule="auto"/>
                    <w:ind w:left="92"/>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10.1.2</w:t>
                  </w:r>
                </w:p>
              </w:tc>
              <w:tc>
                <w:tcPr>
                  <w:tcW w:w="7730" w:type="dxa"/>
                  <w:shd w:val="clear" w:color="auto" w:fill="auto"/>
                </w:tcPr>
                <w:p w14:paraId="7822CC79" w14:textId="77777777" w:rsidR="006E5A12" w:rsidRPr="00725EB1" w:rsidRDefault="006E5A12"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9.10 със следното съдържание:</w:t>
                  </w:r>
                </w:p>
                <w:p w14:paraId="5DA79E1D" w14:textId="675DE6DF" w:rsidR="006E5A12" w:rsidRPr="00725EB1" w:rsidRDefault="006E5A12"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9.10. Крайният получател се задължава да предоставя чрез ИС за ПВУ всички доклади на одитните и контролните органи, издадени в резултат на извършени по инвестицията одитни ангажименти и проверки, както и пълна информация за предприетите корективни действия в срок до три работни дни от получаването им, респ. от извършването им. В този случай, крайният получател се задължава да предоставя на СНД цялата изискуема информация за последващи действия за изпълнение на направени от компетентните органи препоръки, както и да изпълнява указанията, дадени от СНД за изпълнение на тези препоръки.</w:t>
                  </w:r>
                </w:p>
              </w:tc>
            </w:tr>
            <w:tr w:rsidR="003456CB" w:rsidRPr="00725EB1" w14:paraId="34FD1745" w14:textId="77777777" w:rsidTr="00BB7553">
              <w:tc>
                <w:tcPr>
                  <w:tcW w:w="881" w:type="dxa"/>
                  <w:shd w:val="clear" w:color="auto" w:fill="auto"/>
                </w:tcPr>
                <w:p w14:paraId="7DE76920" w14:textId="7C0ED791" w:rsidR="003456CB" w:rsidRPr="00725EB1" w:rsidRDefault="006E5A12" w:rsidP="00A81E1A">
                  <w:pPr>
                    <w:spacing w:after="120" w:line="240" w:lineRule="auto"/>
                    <w:ind w:left="92"/>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10.1.3</w:t>
                  </w:r>
                </w:p>
              </w:tc>
              <w:tc>
                <w:tcPr>
                  <w:tcW w:w="7730" w:type="dxa"/>
                  <w:shd w:val="clear" w:color="auto" w:fill="auto"/>
                </w:tcPr>
                <w:p w14:paraId="31B8F46D" w14:textId="7DFF7C50"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Създава се нов член 13А със следното съдържание:</w:t>
                  </w:r>
                </w:p>
                <w:p w14:paraId="1F85C08F" w14:textId="43879FB0"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13А.1. Крайният получател се задължава да спазва изискването на т. 19 от Рамката за държавна помощ за научни изследвания, развитие и иновации, като съотношението между извършваните икономически и неикономически дейности и техните разходи, финансиране и приходи са ясно разделени по икономически неикономически дейности, така че ефективно да се избегне кръстосаното субсидиране за целия полезен срок на годност на придобитата инфраструктура, определен в амортизационния план на крайният получател.</w:t>
                  </w:r>
                </w:p>
                <w:p w14:paraId="6938E1F3" w14:textId="1D5AE81F" w:rsidR="003456CB" w:rsidRPr="00725EB1" w:rsidRDefault="00BB7553"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w:t>
                  </w:r>
                  <w:r w:rsidR="003456CB" w:rsidRPr="00725EB1">
                    <w:rPr>
                      <w:rFonts w:ascii="Cambria" w:eastAsia="Times New Roman" w:hAnsi="Cambria" w:cs="Times New Roman"/>
                      <w:bCs/>
                      <w:sz w:val="23"/>
                      <w:szCs w:val="23"/>
                      <w:lang w:val="bg-BG" w:bidi="ar-SA"/>
                    </w:rPr>
                    <w:t xml:space="preserve">.2. Крайният получател се задължава да спазва изискването на т. 21 от Рамката за държавна помощ за научни изследвания, развитие и иновации, като икономическите дейности, извършвани </w:t>
                  </w:r>
                  <w:r w:rsidR="002148F6" w:rsidRPr="00725EB1">
                    <w:rPr>
                      <w:rFonts w:ascii="Cambria" w:eastAsia="Times New Roman" w:hAnsi="Cambria" w:cs="Times New Roman"/>
                      <w:bCs/>
                      <w:sz w:val="23"/>
                      <w:szCs w:val="23"/>
                      <w:lang w:val="bg-BG" w:bidi="ar-SA"/>
                    </w:rPr>
                    <w:t>него</w:t>
                  </w:r>
                  <w:r w:rsidR="003456CB" w:rsidRPr="00725EB1">
                    <w:rPr>
                      <w:rFonts w:ascii="Cambria" w:eastAsia="Times New Roman" w:hAnsi="Cambria" w:cs="Times New Roman"/>
                      <w:bCs/>
                      <w:sz w:val="23"/>
                      <w:szCs w:val="23"/>
                      <w:lang w:val="bg-BG" w:bidi="ar-SA"/>
                    </w:rPr>
                    <w:t xml:space="preserve"> потребяват точно същите ресурси (материали, оборудване, труд и постоянен капитал) като извършваните неикономически дейности</w:t>
                  </w:r>
                  <w:r w:rsidR="003456CB" w:rsidRPr="00725EB1">
                    <w:rPr>
                      <w:rFonts w:ascii="Times New Roman" w:eastAsia="Times New Roman" w:hAnsi="Times New Roman" w:cs="Times New Roman"/>
                      <w:sz w:val="24"/>
                      <w:szCs w:val="20"/>
                      <w:lang w:val="fr-FR" w:bidi="ar-SA"/>
                    </w:rPr>
                    <w:t xml:space="preserve"> </w:t>
                  </w:r>
                  <w:r w:rsidR="003456CB" w:rsidRPr="00725EB1">
                    <w:rPr>
                      <w:rFonts w:ascii="Times New Roman" w:eastAsia="Times New Roman" w:hAnsi="Times New Roman" w:cs="Times New Roman"/>
                      <w:sz w:val="24"/>
                      <w:szCs w:val="20"/>
                      <w:lang w:val="bg-BG" w:bidi="ar-SA"/>
                    </w:rPr>
                    <w:t xml:space="preserve">и </w:t>
                  </w:r>
                  <w:r w:rsidR="003456CB" w:rsidRPr="00725EB1">
                    <w:rPr>
                      <w:rFonts w:ascii="Cambria" w:eastAsia="Times New Roman" w:hAnsi="Cambria" w:cs="Times New Roman"/>
                      <w:bCs/>
                      <w:sz w:val="23"/>
                      <w:szCs w:val="23"/>
                      <w:lang w:val="bg-BG" w:bidi="ar-SA"/>
                    </w:rPr>
                    <w:t xml:space="preserve">капацитетът на икономическите дейности не превишава размера от 20 % от общия годишен капацитет за целия </w:t>
                  </w:r>
                  <w:r w:rsidR="002148F6" w:rsidRPr="00725EB1">
                    <w:rPr>
                      <w:rFonts w:ascii="Cambria" w:eastAsia="Times New Roman" w:hAnsi="Cambria" w:cs="Times New Roman"/>
                      <w:bCs/>
                      <w:sz w:val="23"/>
                      <w:szCs w:val="23"/>
                      <w:lang w:val="bg-BG" w:bidi="ar-SA"/>
                    </w:rPr>
                    <w:t>срок на изпълнение на инвестицията.</w:t>
                  </w:r>
                </w:p>
                <w:p w14:paraId="4641035D" w14:textId="45060624" w:rsidR="003456CB" w:rsidRPr="00725EB1" w:rsidRDefault="00BB7553" w:rsidP="003456CB">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 xml:space="preserve">Чл. 13А.3. </w:t>
                  </w:r>
                  <w:r w:rsidR="003456CB" w:rsidRPr="00725EB1">
                    <w:rPr>
                      <w:rFonts w:ascii="Cambria" w:eastAsia="Times New Roman" w:hAnsi="Cambria" w:cs="Times New Roman"/>
                      <w:bCs/>
                      <w:sz w:val="23"/>
                      <w:szCs w:val="23"/>
                      <w:lang w:val="bg-BG" w:bidi="ar-SA"/>
                    </w:rPr>
                    <w:t>Неикономически по своя характер са фундаменталните научни изследвания, отговарящи на т. 16, б. „н“ от Рамката. Индустриалните научни изследвания (т. 16, б. „с“), експерименталното развитие (т. 16, б. „к“) и проучването на осъществимостта (т. 16, б. „л“) могат да бъдат класифицирани като неикономически само ако са изпълнени в ефективно сътрудничество по смисъла на т. 16, б. „з“ и се спазват условията на т. 28 и т. 29 от Рамката.</w:t>
                  </w:r>
                </w:p>
                <w:p w14:paraId="62EF7450" w14:textId="3E30F9BC" w:rsidR="003456CB" w:rsidRPr="00725EB1" w:rsidRDefault="003456CB" w:rsidP="00BB7553">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w:t>
                  </w:r>
                  <w:r w:rsidR="00BB7553" w:rsidRPr="00725EB1">
                    <w:rPr>
                      <w:rFonts w:ascii="Cambria" w:eastAsia="Times New Roman" w:hAnsi="Cambria" w:cs="Times New Roman"/>
                      <w:bCs/>
                      <w:sz w:val="23"/>
                      <w:szCs w:val="23"/>
                      <w:lang w:val="bg-BG" w:bidi="ar-SA"/>
                    </w:rPr>
                    <w:t>.4</w:t>
                  </w:r>
                  <w:r w:rsidRPr="00725EB1">
                    <w:rPr>
                      <w:rFonts w:ascii="Cambria" w:eastAsia="Times New Roman" w:hAnsi="Cambria" w:cs="Times New Roman"/>
                      <w:bCs/>
                      <w:sz w:val="23"/>
                      <w:szCs w:val="23"/>
                      <w:lang w:val="bg-BG" w:bidi="ar-SA"/>
                    </w:rPr>
                    <w:t>.</w:t>
                  </w:r>
                  <w:r w:rsidR="00BB7553" w:rsidRPr="00725EB1">
                    <w:rPr>
                      <w:rFonts w:ascii="Cambria" w:eastAsia="Times New Roman" w:hAnsi="Cambria" w:cs="Times New Roman"/>
                      <w:bCs/>
                      <w:sz w:val="23"/>
                      <w:szCs w:val="23"/>
                      <w:lang w:val="bg-BG" w:bidi="ar-SA"/>
                    </w:rPr>
                    <w:t xml:space="preserve"> </w:t>
                  </w:r>
                  <w:r w:rsidRPr="00725EB1">
                    <w:rPr>
                      <w:rFonts w:ascii="Cambria" w:eastAsia="Times New Roman" w:hAnsi="Cambria" w:cs="Times New Roman"/>
                      <w:bCs/>
                      <w:sz w:val="23"/>
                      <w:szCs w:val="23"/>
                      <w:lang w:val="bg-BG" w:bidi="ar-SA"/>
                    </w:rPr>
                    <w:t>СНД ще извършва проверки дали всяка една из</w:t>
                  </w:r>
                  <w:r w:rsidR="00BB7553" w:rsidRPr="00725EB1">
                    <w:rPr>
                      <w:rFonts w:ascii="Cambria" w:eastAsia="Times New Roman" w:hAnsi="Cambria" w:cs="Times New Roman"/>
                      <w:bCs/>
                      <w:sz w:val="23"/>
                      <w:szCs w:val="23"/>
                      <w:lang w:val="bg-BG" w:bidi="ar-SA"/>
                    </w:rPr>
                    <w:t>пълне</w:t>
                  </w:r>
                  <w:r w:rsidRPr="00725EB1">
                    <w:rPr>
                      <w:rFonts w:ascii="Cambria" w:eastAsia="Times New Roman" w:hAnsi="Cambria" w:cs="Times New Roman"/>
                      <w:bCs/>
                      <w:sz w:val="23"/>
                      <w:szCs w:val="23"/>
                      <w:lang w:val="bg-BG" w:bidi="ar-SA"/>
                    </w:rPr>
                    <w:t xml:space="preserve">на дейност през годината е определена като икономическа или неикономическа и дали разходите за нея са отнесени коректно  за целия </w:t>
                  </w:r>
                  <w:r w:rsidR="002148F6" w:rsidRPr="00725EB1">
                    <w:rPr>
                      <w:rFonts w:ascii="Cambria" w:eastAsia="Times New Roman" w:hAnsi="Cambria" w:cs="Times New Roman"/>
                      <w:bCs/>
                      <w:sz w:val="23"/>
                      <w:szCs w:val="23"/>
                      <w:lang w:val="bg-BG" w:bidi="ar-SA"/>
                    </w:rPr>
                    <w:t>срок на изпълнение на инвестицията</w:t>
                  </w:r>
                  <w:r w:rsidR="00977392" w:rsidRPr="00725EB1">
                    <w:rPr>
                      <w:rFonts w:ascii="Cambria" w:eastAsia="Times New Roman" w:hAnsi="Cambria" w:cs="Times New Roman"/>
                      <w:bCs/>
                      <w:sz w:val="23"/>
                      <w:szCs w:val="23"/>
                      <w:lang w:val="bg-BG" w:bidi="ar-SA"/>
                    </w:rPr>
                    <w:t xml:space="preserve">, или за целия полезен срок </w:t>
                  </w:r>
                  <w:r w:rsidR="00977392" w:rsidRPr="00725EB1">
                    <w:rPr>
                      <w:rFonts w:ascii="Cambria" w:eastAsia="Times New Roman" w:hAnsi="Cambria" w:cs="Times New Roman"/>
                      <w:bCs/>
                      <w:sz w:val="23"/>
                      <w:szCs w:val="23"/>
                      <w:lang w:val="bg-BG" w:bidi="ar-SA"/>
                    </w:rPr>
                    <w:lastRenderedPageBreak/>
                    <w:t>на годност на придобитата инфраструктура, определен в амортизационния план на крайния получател, ако е приложимо</w:t>
                  </w:r>
                  <w:r w:rsidR="002148F6" w:rsidRPr="00725EB1">
                    <w:rPr>
                      <w:rFonts w:ascii="Cambria" w:eastAsia="Times New Roman" w:hAnsi="Cambria" w:cs="Times New Roman"/>
                      <w:bCs/>
                      <w:sz w:val="23"/>
                      <w:szCs w:val="23"/>
                      <w:lang w:val="bg-BG" w:bidi="ar-SA"/>
                    </w:rPr>
                    <w:t xml:space="preserve">. </w:t>
                  </w:r>
                </w:p>
                <w:p w14:paraId="5453FC26" w14:textId="47520556" w:rsidR="006E5A12" w:rsidRPr="00725EB1" w:rsidRDefault="006E5A12" w:rsidP="00BB7553">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Чл. 13А.5. В случаите, когато крайният получател е бенефициент по проект, в който участва с част от капацитета си, и по който има изискване за спазване на т. 21 от Рамката за определени инфраструктурни единици (ИЕ), спазването на изискванията на т. 21 от Рамката трябва да се отнася както на ниво субект (института), така и на ниво ИЕ, включени в проекта.</w:t>
                  </w:r>
                </w:p>
              </w:tc>
            </w:tr>
            <w:tr w:rsidR="003456CB" w:rsidRPr="00725EB1" w14:paraId="421908CF" w14:textId="77777777" w:rsidTr="00BB7553">
              <w:tc>
                <w:tcPr>
                  <w:tcW w:w="881" w:type="dxa"/>
                  <w:shd w:val="clear" w:color="auto" w:fill="auto"/>
                </w:tcPr>
                <w:p w14:paraId="6C728742" w14:textId="77777777" w:rsidR="003456CB" w:rsidRPr="00725EB1" w:rsidRDefault="003456CB" w:rsidP="003456CB">
                  <w:pPr>
                    <w:spacing w:after="120" w:line="240" w:lineRule="auto"/>
                    <w:ind w:left="360"/>
                    <w:jc w:val="both"/>
                    <w:rPr>
                      <w:rFonts w:ascii="Cambria" w:eastAsia="Times New Roman" w:hAnsi="Cambria" w:cs="Times New Roman"/>
                      <w:bCs/>
                      <w:sz w:val="23"/>
                      <w:szCs w:val="23"/>
                      <w:lang w:val="bg-BG" w:bidi="ar-SA"/>
                    </w:rPr>
                  </w:pPr>
                </w:p>
              </w:tc>
              <w:tc>
                <w:tcPr>
                  <w:tcW w:w="7730" w:type="dxa"/>
                  <w:shd w:val="clear" w:color="auto" w:fill="auto"/>
                </w:tcPr>
                <w:p w14:paraId="00BBDCFA" w14:textId="00DEC54C" w:rsidR="003456CB" w:rsidRPr="00725EB1" w:rsidRDefault="006E5A12" w:rsidP="00BB7553">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sz w:val="23"/>
                      <w:szCs w:val="23"/>
                      <w:lang w:val="bg-BG" w:bidi="ar-SA"/>
                    </w:rPr>
                    <w:t>Чл. 13А.6</w:t>
                  </w:r>
                  <w:r w:rsidR="003456CB" w:rsidRPr="00725EB1">
                    <w:rPr>
                      <w:rFonts w:ascii="Cambria" w:eastAsia="Times New Roman" w:hAnsi="Cambria" w:cs="Times New Roman"/>
                      <w:sz w:val="23"/>
                      <w:szCs w:val="23"/>
                      <w:lang w:val="bg-BG" w:bidi="ar-SA"/>
                    </w:rPr>
                    <w:t xml:space="preserve">. </w:t>
                  </w:r>
                  <w:r w:rsidRPr="00725EB1">
                    <w:rPr>
                      <w:rFonts w:ascii="Cambria" w:eastAsia="Times New Roman" w:hAnsi="Cambria" w:cs="Times New Roman"/>
                      <w:sz w:val="23"/>
                      <w:szCs w:val="23"/>
                      <w:lang w:val="bg-BG" w:bidi="ar-SA"/>
                    </w:rPr>
                    <w:t>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При постановяване на решение на Европейската комисия за възстановяване на неправомерна, несъвместима или неправилно използвана държавна/минимална помощ Крайният получател се задължава да възстанови съответната сума, съгласно условията на решението.</w:t>
                  </w:r>
                </w:p>
              </w:tc>
            </w:tr>
            <w:tr w:rsidR="003456CB" w:rsidRPr="00725EB1" w14:paraId="0B83B224" w14:textId="77777777" w:rsidTr="00BB7553">
              <w:tc>
                <w:tcPr>
                  <w:tcW w:w="881" w:type="dxa"/>
                  <w:shd w:val="clear" w:color="auto" w:fill="auto"/>
                </w:tcPr>
                <w:p w14:paraId="5573CA8F" w14:textId="529232BC" w:rsidR="003456CB" w:rsidRPr="00725EB1" w:rsidRDefault="006E5A12" w:rsidP="00BB7553">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10.1.4</w:t>
                  </w:r>
                </w:p>
              </w:tc>
              <w:tc>
                <w:tcPr>
                  <w:tcW w:w="7730" w:type="dxa"/>
                  <w:shd w:val="clear" w:color="auto" w:fill="auto"/>
                </w:tcPr>
                <w:tbl>
                  <w:tblPr>
                    <w:tblW w:w="7548" w:type="dxa"/>
                    <w:tblLook w:val="04A0" w:firstRow="1" w:lastRow="0" w:firstColumn="1" w:lastColumn="0" w:noHBand="0" w:noVBand="1"/>
                  </w:tblPr>
                  <w:tblGrid>
                    <w:gridCol w:w="7548"/>
                  </w:tblGrid>
                  <w:tr w:rsidR="003456CB" w:rsidRPr="00725EB1" w14:paraId="30B669DD" w14:textId="77777777" w:rsidTr="00BB7553">
                    <w:tc>
                      <w:tcPr>
                        <w:tcW w:w="7548" w:type="dxa"/>
                        <w:shd w:val="clear" w:color="auto" w:fill="auto"/>
                      </w:tcPr>
                      <w:p w14:paraId="562EC1B0" w14:textId="16F0E304"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Чл. 17.4 от Приложение ІІ към договора се допълва, както следва:</w:t>
                        </w:r>
                      </w:p>
                      <w:p w14:paraId="5AC972CC" w14:textId="66BC0697" w:rsidR="003456CB" w:rsidRPr="00725EB1" w:rsidRDefault="006E5A12"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17.4.2</w:t>
                        </w:r>
                        <w:r w:rsidR="003456CB" w:rsidRPr="00725EB1">
                          <w:rPr>
                            <w:rFonts w:ascii="Cambria" w:eastAsia="Times New Roman" w:hAnsi="Cambria" w:cs="Times New Roman"/>
                            <w:sz w:val="23"/>
                            <w:szCs w:val="23"/>
                            <w:lang w:val="bg-BG" w:bidi="ar-SA"/>
                          </w:rPr>
                          <w:t xml:space="preserve"> За изменението на договора не се подписва изричен двустранен писмен или електронен документ в следните случаи: </w:t>
                        </w:r>
                      </w:p>
                      <w:p w14:paraId="7D45F198"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адреса за кореспонденция и контакти;</w:t>
                        </w:r>
                      </w:p>
                      <w:p w14:paraId="7F524D39"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13699166"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53FBBC1D"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уеднаквяване на текстове в договора и/или приложенията към него;</w:t>
                        </w:r>
                      </w:p>
                      <w:p w14:paraId="7B6C7801"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0B44A58B"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наименованието на крайния получател.</w:t>
                        </w:r>
                      </w:p>
                      <w:p w14:paraId="638F7D9E"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в бюджета на инвестицията, посочен в Приложение І, договора, свързана с прехвърляне на средства в рамките на един „тип разходи“ или прехвърляне на средства от един „тип разходи“ в друг, като отклонението е под 15 % от първоначално договорения размер, в случаите когато посоченото е в съответствие с условията за кандидатстване и условията за изпълнение;</w:t>
                        </w:r>
                      </w:p>
                      <w:p w14:paraId="12D2F21D"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 при  промяна на банкова сметка на крайния получател;</w:t>
                        </w:r>
                      </w:p>
                      <w:p w14:paraId="419F0299"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при промяна на законния/ите представляващ/и на крайния получател;</w:t>
                        </w:r>
                      </w:p>
                      <w:p w14:paraId="0C338D0A" w14:textId="77777777" w:rsidR="003456CB" w:rsidRPr="00725EB1" w:rsidRDefault="003456CB" w:rsidP="00BB7553">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 В посочените случаи, крайният получател следва да уведоми </w:t>
                        </w:r>
                        <w:r w:rsidRPr="00725EB1">
                          <w:rPr>
                            <w:rFonts w:ascii="Cambria" w:eastAsia="Times New Roman" w:hAnsi="Cambria" w:cs="Times New Roman"/>
                            <w:sz w:val="23"/>
                            <w:szCs w:val="23"/>
                            <w:lang w:val="bg-BG" w:bidi="ar-SA"/>
                          </w:rPr>
                          <w:lastRenderedPageBreak/>
                          <w:t>незабавно СНД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СНД,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СНД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ІІ. В случай, че СНД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bl>
                <w:p w14:paraId="610803B9" w14:textId="77777777"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p>
              </w:tc>
            </w:tr>
            <w:tr w:rsidR="003456CB" w:rsidRPr="00725EB1" w14:paraId="08AEC3BD" w14:textId="77777777" w:rsidTr="00BB7553">
              <w:tc>
                <w:tcPr>
                  <w:tcW w:w="881" w:type="dxa"/>
                  <w:shd w:val="clear" w:color="auto" w:fill="auto"/>
                </w:tcPr>
                <w:p w14:paraId="5655D210" w14:textId="77777777" w:rsidR="003456CB" w:rsidRPr="00725EB1" w:rsidRDefault="003456CB" w:rsidP="003456CB">
                  <w:pPr>
                    <w:spacing w:after="120" w:line="240" w:lineRule="auto"/>
                    <w:ind w:left="360"/>
                    <w:jc w:val="both"/>
                    <w:rPr>
                      <w:rFonts w:ascii="Cambria" w:eastAsia="Times New Roman" w:hAnsi="Cambria" w:cs="Times New Roman"/>
                      <w:bCs/>
                      <w:sz w:val="23"/>
                      <w:szCs w:val="23"/>
                      <w:lang w:val="bg-BG" w:bidi="ar-SA"/>
                    </w:rPr>
                  </w:pPr>
                </w:p>
              </w:tc>
              <w:tc>
                <w:tcPr>
                  <w:tcW w:w="7730" w:type="dxa"/>
                  <w:shd w:val="clear" w:color="auto" w:fill="auto"/>
                </w:tcPr>
                <w:p w14:paraId="3568987D" w14:textId="77777777"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p>
              </w:tc>
            </w:tr>
            <w:tr w:rsidR="003456CB" w:rsidRPr="00725EB1" w14:paraId="1CAFC824" w14:textId="77777777" w:rsidTr="00BB7553">
              <w:tc>
                <w:tcPr>
                  <w:tcW w:w="881" w:type="dxa"/>
                  <w:shd w:val="clear" w:color="auto" w:fill="auto"/>
                </w:tcPr>
                <w:p w14:paraId="3397D259" w14:textId="327681C7" w:rsidR="003456CB" w:rsidRPr="00725EB1" w:rsidRDefault="006E5A12" w:rsidP="00BB7553">
                  <w:pPr>
                    <w:spacing w:after="120" w:line="240" w:lineRule="auto"/>
                    <w:jc w:val="both"/>
                    <w:rPr>
                      <w:rFonts w:ascii="Cambria" w:eastAsia="Times New Roman" w:hAnsi="Cambria" w:cs="Times New Roman"/>
                      <w:bCs/>
                      <w:sz w:val="23"/>
                      <w:szCs w:val="23"/>
                      <w:lang w:val="bg-BG" w:bidi="ar-SA"/>
                    </w:rPr>
                  </w:pPr>
                  <w:r w:rsidRPr="00725EB1">
                    <w:rPr>
                      <w:rFonts w:ascii="Cambria" w:eastAsia="Times New Roman" w:hAnsi="Cambria" w:cs="Times New Roman"/>
                      <w:bCs/>
                      <w:sz w:val="23"/>
                      <w:szCs w:val="23"/>
                      <w:lang w:val="bg-BG" w:bidi="ar-SA"/>
                    </w:rPr>
                    <w:t>10.1.5</w:t>
                  </w:r>
                </w:p>
              </w:tc>
              <w:tc>
                <w:tcPr>
                  <w:tcW w:w="7730" w:type="dxa"/>
                  <w:shd w:val="clear" w:color="auto" w:fill="auto"/>
                </w:tcPr>
                <w:p w14:paraId="1AD5741A" w14:textId="77777777" w:rsidR="003456CB" w:rsidRPr="00725EB1" w:rsidRDefault="003456CB" w:rsidP="003456CB">
                  <w:pPr>
                    <w:spacing w:after="120" w:line="240" w:lineRule="auto"/>
                    <w:jc w:val="both"/>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 xml:space="preserve">Чл. 20.2 от Приложение II към договора се допълва, както следва: </w:t>
                  </w:r>
                </w:p>
                <w:p w14:paraId="09D3C817" w14:textId="1D3FC125" w:rsidR="003456CB" w:rsidRPr="00725EB1" w:rsidRDefault="003456CB" w:rsidP="006E5A12">
                  <w:pPr>
                    <w:spacing w:after="120" w:line="240" w:lineRule="auto"/>
                    <w:jc w:val="both"/>
                    <w:rPr>
                      <w:rFonts w:ascii="Cambria" w:eastAsia="Times New Roman" w:hAnsi="Cambria" w:cs="Times New Roman"/>
                      <w:bCs/>
                      <w:iCs/>
                      <w:sz w:val="23"/>
                      <w:szCs w:val="23"/>
                      <w:lang w:val="bg-BG" w:bidi="ar-SA"/>
                    </w:rPr>
                  </w:pPr>
                  <w:r w:rsidRPr="00725EB1">
                    <w:rPr>
                      <w:rFonts w:ascii="Cambria" w:eastAsia="Times New Roman" w:hAnsi="Cambria" w:cs="Times New Roman"/>
                      <w:sz w:val="23"/>
                      <w:szCs w:val="23"/>
                      <w:lang w:val="bg-BG" w:bidi="ar-SA"/>
                    </w:rPr>
                    <w:t xml:space="preserve">В случай, че крайният получател не изпълни и/или не отчете пред СНД по реда на чл. 11 от Приложение ІІ изпълнението на ключов етап по изпълнението на инвестицията, посочен в описанието на инвестицията – Приложение І, в срока, предвиден за това, и изпълнението на договора не се намира в някоя от ситуациите, посочени в членове 19.2, 19.3 или 19.5, СНД може да прекрати едностранно договора с последиците по чл. 20.3, след като вземе становището на крайния получател и, по негово искане, му предостави </w:t>
                  </w:r>
                  <w:r w:rsidR="006E5A12" w:rsidRPr="00725EB1">
                    <w:rPr>
                      <w:rFonts w:ascii="Cambria" w:eastAsia="Times New Roman" w:hAnsi="Cambria" w:cs="Times New Roman"/>
                      <w:sz w:val="23"/>
                      <w:szCs w:val="23"/>
                      <w:lang w:val="bg-BG" w:bidi="ar-SA"/>
                    </w:rPr>
                    <w:t>едно</w:t>
                  </w:r>
                  <w:r w:rsidRPr="00725EB1">
                    <w:rPr>
                      <w:rFonts w:ascii="Cambria" w:eastAsia="Times New Roman" w:hAnsi="Cambria" w:cs="Times New Roman"/>
                      <w:sz w:val="23"/>
                      <w:szCs w:val="23"/>
                      <w:lang w:val="bg-BG" w:bidi="ar-SA"/>
                    </w:rPr>
                    <w:t>месечен срок за изпълнението и/или отчитането на съответния ключов етап.</w:t>
                  </w:r>
                </w:p>
              </w:tc>
            </w:tr>
          </w:tbl>
          <w:p w14:paraId="1E9DBFE2" w14:textId="77777777"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p>
        </w:tc>
      </w:tr>
      <w:tr w:rsidR="003456CB" w:rsidRPr="00725EB1" w14:paraId="494C8AAD" w14:textId="77777777" w:rsidTr="00BB7553">
        <w:tc>
          <w:tcPr>
            <w:tcW w:w="568" w:type="dxa"/>
            <w:shd w:val="clear" w:color="auto" w:fill="auto"/>
          </w:tcPr>
          <w:p w14:paraId="6651D959" w14:textId="77777777" w:rsidR="003456CB" w:rsidRPr="00725EB1" w:rsidRDefault="003456CB" w:rsidP="003456CB">
            <w:pPr>
              <w:spacing w:after="120" w:line="240" w:lineRule="auto"/>
              <w:ind w:left="360"/>
              <w:rPr>
                <w:rFonts w:ascii="Cambria" w:eastAsia="Times New Roman" w:hAnsi="Cambria" w:cs="Times New Roman"/>
                <w:bCs/>
                <w:sz w:val="23"/>
                <w:szCs w:val="23"/>
                <w:lang w:val="bg-BG" w:bidi="ar-SA"/>
              </w:rPr>
            </w:pPr>
          </w:p>
        </w:tc>
        <w:tc>
          <w:tcPr>
            <w:tcW w:w="8930" w:type="dxa"/>
            <w:shd w:val="clear" w:color="auto" w:fill="auto"/>
          </w:tcPr>
          <w:tbl>
            <w:tblPr>
              <w:tblW w:w="0" w:type="auto"/>
              <w:tblLook w:val="04A0" w:firstRow="1" w:lastRow="0" w:firstColumn="1" w:lastColumn="0" w:noHBand="0" w:noVBand="1"/>
            </w:tblPr>
            <w:tblGrid>
              <w:gridCol w:w="475"/>
              <w:gridCol w:w="8142"/>
            </w:tblGrid>
            <w:tr w:rsidR="003456CB" w:rsidRPr="00725EB1" w14:paraId="71BB2674" w14:textId="77777777" w:rsidTr="000D4FEF">
              <w:tc>
                <w:tcPr>
                  <w:tcW w:w="475" w:type="dxa"/>
                  <w:shd w:val="clear" w:color="auto" w:fill="auto"/>
                </w:tcPr>
                <w:p w14:paraId="6D0C1C8C" w14:textId="77777777" w:rsidR="003456CB" w:rsidRPr="00725EB1" w:rsidRDefault="003456CB" w:rsidP="003456CB">
                  <w:pPr>
                    <w:spacing w:after="120" w:line="240" w:lineRule="auto"/>
                    <w:ind w:left="360"/>
                    <w:rPr>
                      <w:rFonts w:ascii="Cambria" w:eastAsia="Times New Roman" w:hAnsi="Cambria" w:cs="Times New Roman"/>
                      <w:bCs/>
                      <w:sz w:val="23"/>
                      <w:szCs w:val="23"/>
                      <w:lang w:val="bg-BG" w:bidi="ar-SA"/>
                    </w:rPr>
                  </w:pPr>
                </w:p>
              </w:tc>
              <w:tc>
                <w:tcPr>
                  <w:tcW w:w="8142" w:type="dxa"/>
                  <w:shd w:val="clear" w:color="auto" w:fill="auto"/>
                </w:tcPr>
                <w:p w14:paraId="04B0124F" w14:textId="77777777" w:rsidR="003456CB" w:rsidRPr="00725EB1" w:rsidRDefault="003456CB" w:rsidP="003456CB">
                  <w:pPr>
                    <w:spacing w:after="120" w:line="240" w:lineRule="auto"/>
                    <w:jc w:val="both"/>
                    <w:rPr>
                      <w:rFonts w:ascii="Cambria" w:eastAsia="Times New Roman" w:hAnsi="Cambria" w:cs="Times New Roman"/>
                      <w:bCs/>
                      <w:sz w:val="23"/>
                      <w:szCs w:val="23"/>
                      <w:lang w:val="bg-BG" w:bidi="ar-SA"/>
                    </w:rPr>
                  </w:pPr>
                </w:p>
              </w:tc>
            </w:tr>
          </w:tbl>
          <w:p w14:paraId="33BF3477" w14:textId="51B084D9" w:rsidR="003456CB" w:rsidRPr="00725EB1" w:rsidRDefault="003456CB" w:rsidP="003456CB">
            <w:pPr>
              <w:spacing w:after="120" w:line="240" w:lineRule="auto"/>
              <w:jc w:val="both"/>
              <w:rPr>
                <w:rFonts w:ascii="Cambria" w:eastAsia="Times New Roman" w:hAnsi="Cambria" w:cs="Times New Roman"/>
                <w:sz w:val="23"/>
                <w:szCs w:val="23"/>
                <w:lang w:val="bg-BG" w:bidi="ar-SA"/>
              </w:rPr>
            </w:pPr>
          </w:p>
        </w:tc>
      </w:tr>
    </w:tbl>
    <w:p w14:paraId="3605143E" w14:textId="730A10CC" w:rsidR="003456CB" w:rsidRPr="00725EB1" w:rsidRDefault="00F30396" w:rsidP="003456CB">
      <w:pPr>
        <w:spacing w:after="120" w:line="240" w:lineRule="auto"/>
        <w:jc w:val="both"/>
        <w:rPr>
          <w:rFonts w:ascii="Cambria" w:eastAsia="Times New Roman" w:hAnsi="Cambria" w:cs="Times New Roman"/>
          <w:i/>
          <w:sz w:val="23"/>
          <w:szCs w:val="23"/>
          <w:lang w:val="bg-BG" w:bidi="ar-SA"/>
        </w:rPr>
      </w:pPr>
      <w:r w:rsidRPr="00725EB1" w:rsidDel="00F30396">
        <w:rPr>
          <w:rFonts w:ascii="Cambria" w:eastAsia="Times New Roman" w:hAnsi="Cambria" w:cs="Times New Roman"/>
          <w:i/>
          <w:sz w:val="23"/>
          <w:szCs w:val="23"/>
          <w:lang w:val="bg-BG" w:bidi="ar-SA"/>
        </w:rPr>
        <w:t xml:space="preserve"> </w:t>
      </w:r>
      <w:r w:rsidR="003456CB" w:rsidRPr="00725EB1">
        <w:rPr>
          <w:rFonts w:ascii="Cambria" w:eastAsia="Times New Roman" w:hAnsi="Cambria" w:cs="Times New Roman"/>
          <w:i/>
          <w:sz w:val="23"/>
          <w:szCs w:val="23"/>
          <w:lang w:val="bg-BG" w:bidi="ar-SA"/>
        </w:rPr>
        <w:t xml:space="preserve">Настоящият договор е съставен като електронен документ и подписан с електронни подписи </w:t>
      </w:r>
      <w:bookmarkStart w:id="1" w:name="_Hlk109500137"/>
      <w:r w:rsidR="003456CB" w:rsidRPr="00725EB1">
        <w:rPr>
          <w:rFonts w:ascii="Cambria" w:eastAsia="Times New Roman" w:hAnsi="Cambria" w:cs="Times New Roman"/>
          <w:i/>
          <w:sz w:val="23"/>
          <w:szCs w:val="23"/>
          <w:lang w:val="bg-BG" w:bidi="ar-SA"/>
        </w:rPr>
        <w:t>в съответствие със Закона за електронния документ и електронните удостоверителни услуги</w:t>
      </w:r>
      <w:bookmarkEnd w:id="1"/>
      <w:r w:rsidR="003456CB" w:rsidRPr="00725EB1">
        <w:rPr>
          <w:rFonts w:ascii="Cambria" w:eastAsia="Times New Roman" w:hAnsi="Cambria" w:cs="Times New Roman"/>
          <w:i/>
          <w:sz w:val="23"/>
          <w:szCs w:val="23"/>
          <w:lang w:val="bg-BG" w:bidi="ar-SA"/>
        </w:rPr>
        <w:t>.</w:t>
      </w:r>
    </w:p>
    <w:p w14:paraId="7BE66510" w14:textId="77777777" w:rsidR="003456CB" w:rsidRPr="00725EB1" w:rsidRDefault="003456CB" w:rsidP="003456CB">
      <w:pPr>
        <w:spacing w:after="120" w:line="240" w:lineRule="auto"/>
        <w:ind w:left="5812" w:hanging="5812"/>
        <w:rPr>
          <w:rFonts w:ascii="Cambria" w:eastAsia="Times New Roman" w:hAnsi="Cambria" w:cs="Times New Roman"/>
          <w:sz w:val="23"/>
          <w:szCs w:val="23"/>
          <w:lang w:val="bg-BG" w:bidi="ar-SA"/>
        </w:rPr>
      </w:pPr>
    </w:p>
    <w:tbl>
      <w:tblPr>
        <w:tblW w:w="0" w:type="auto"/>
        <w:tblLayout w:type="fixed"/>
        <w:tblLook w:val="0000" w:firstRow="0" w:lastRow="0" w:firstColumn="0" w:lastColumn="0" w:noHBand="0" w:noVBand="0"/>
      </w:tblPr>
      <w:tblGrid>
        <w:gridCol w:w="1384"/>
        <w:gridCol w:w="3259"/>
        <w:gridCol w:w="2321"/>
        <w:gridCol w:w="2500"/>
      </w:tblGrid>
      <w:tr w:rsidR="003456CB" w:rsidRPr="00725EB1" w14:paraId="12C4E43D" w14:textId="77777777" w:rsidTr="000D4FEF">
        <w:tc>
          <w:tcPr>
            <w:tcW w:w="4643" w:type="dxa"/>
            <w:gridSpan w:val="2"/>
          </w:tcPr>
          <w:p w14:paraId="50C00F26" w14:textId="2C39A589" w:rsidR="003456CB" w:rsidRPr="00725EB1" w:rsidRDefault="003456CB" w:rsidP="003456CB">
            <w:pPr>
              <w:spacing w:after="120" w:line="240" w:lineRule="auto"/>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 xml:space="preserve">Краен получател </w:t>
            </w:r>
          </w:p>
        </w:tc>
        <w:tc>
          <w:tcPr>
            <w:tcW w:w="4821" w:type="dxa"/>
            <w:gridSpan w:val="2"/>
          </w:tcPr>
          <w:p w14:paraId="7311F3DA" w14:textId="0763104C" w:rsidR="003456CB" w:rsidRPr="00725EB1" w:rsidRDefault="003456CB" w:rsidP="003456CB">
            <w:pPr>
              <w:spacing w:after="120" w:line="240" w:lineRule="auto"/>
              <w:rPr>
                <w:rFonts w:ascii="Cambria" w:eastAsia="Times New Roman" w:hAnsi="Cambria" w:cs="Times New Roman"/>
                <w:b/>
                <w:sz w:val="23"/>
                <w:szCs w:val="23"/>
                <w:lang w:val="bg-BG" w:bidi="ar-SA"/>
              </w:rPr>
            </w:pPr>
            <w:r w:rsidRPr="00725EB1">
              <w:rPr>
                <w:rFonts w:ascii="Cambria" w:eastAsia="Times New Roman" w:hAnsi="Cambria" w:cs="Times New Roman"/>
                <w:b/>
                <w:sz w:val="23"/>
                <w:szCs w:val="23"/>
                <w:lang w:val="bg-BG" w:bidi="ar-SA"/>
              </w:rPr>
              <w:t>Ръководител на Структурата за наблюдение и докладване</w:t>
            </w:r>
          </w:p>
        </w:tc>
      </w:tr>
      <w:tr w:rsidR="003456CB" w:rsidRPr="00725EB1" w14:paraId="20C98EDB" w14:textId="77777777" w:rsidTr="000D4FEF">
        <w:trPr>
          <w:cantSplit/>
        </w:trPr>
        <w:tc>
          <w:tcPr>
            <w:tcW w:w="1384" w:type="dxa"/>
          </w:tcPr>
          <w:p w14:paraId="2674BD52"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Име</w:t>
            </w:r>
          </w:p>
        </w:tc>
        <w:tc>
          <w:tcPr>
            <w:tcW w:w="3259" w:type="dxa"/>
          </w:tcPr>
          <w:p w14:paraId="678FBF5D"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p>
        </w:tc>
        <w:tc>
          <w:tcPr>
            <w:tcW w:w="2321" w:type="dxa"/>
          </w:tcPr>
          <w:p w14:paraId="10AD450E"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Име</w:t>
            </w:r>
          </w:p>
        </w:tc>
        <w:tc>
          <w:tcPr>
            <w:tcW w:w="2500" w:type="dxa"/>
          </w:tcPr>
          <w:p w14:paraId="623EDDA3"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p>
        </w:tc>
      </w:tr>
      <w:tr w:rsidR="003456CB" w:rsidRPr="00725EB1" w14:paraId="1D26D55B" w14:textId="77777777" w:rsidTr="000D4FEF">
        <w:trPr>
          <w:cantSplit/>
        </w:trPr>
        <w:tc>
          <w:tcPr>
            <w:tcW w:w="1384" w:type="dxa"/>
          </w:tcPr>
          <w:p w14:paraId="6F7A3CD3"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Длъжност</w:t>
            </w:r>
          </w:p>
        </w:tc>
        <w:tc>
          <w:tcPr>
            <w:tcW w:w="3259" w:type="dxa"/>
          </w:tcPr>
          <w:p w14:paraId="3F7C5F9E"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p>
        </w:tc>
        <w:tc>
          <w:tcPr>
            <w:tcW w:w="2321" w:type="dxa"/>
          </w:tcPr>
          <w:p w14:paraId="216CF8B5"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Длъжност</w:t>
            </w:r>
          </w:p>
        </w:tc>
        <w:tc>
          <w:tcPr>
            <w:tcW w:w="2500" w:type="dxa"/>
          </w:tcPr>
          <w:p w14:paraId="6C8DF618"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p>
        </w:tc>
      </w:tr>
      <w:tr w:rsidR="003456CB" w:rsidRPr="00725EB1" w14:paraId="6864728D" w14:textId="77777777" w:rsidTr="000D4FEF">
        <w:trPr>
          <w:cantSplit/>
        </w:trPr>
        <w:tc>
          <w:tcPr>
            <w:tcW w:w="1384" w:type="dxa"/>
          </w:tcPr>
          <w:p w14:paraId="75D3C76B"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Подпис</w:t>
            </w:r>
          </w:p>
        </w:tc>
        <w:tc>
          <w:tcPr>
            <w:tcW w:w="3259" w:type="dxa"/>
          </w:tcPr>
          <w:p w14:paraId="58963906"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p>
        </w:tc>
        <w:tc>
          <w:tcPr>
            <w:tcW w:w="2321" w:type="dxa"/>
          </w:tcPr>
          <w:p w14:paraId="16167D6A"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Подпис</w:t>
            </w:r>
          </w:p>
        </w:tc>
        <w:tc>
          <w:tcPr>
            <w:tcW w:w="2500" w:type="dxa"/>
          </w:tcPr>
          <w:p w14:paraId="77D60400"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p>
        </w:tc>
      </w:tr>
      <w:tr w:rsidR="003456CB" w:rsidRPr="003456CB" w14:paraId="44E0D093" w14:textId="77777777" w:rsidTr="000D4FEF">
        <w:trPr>
          <w:cantSplit/>
        </w:trPr>
        <w:tc>
          <w:tcPr>
            <w:tcW w:w="1384" w:type="dxa"/>
          </w:tcPr>
          <w:p w14:paraId="708B837B"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Дата</w:t>
            </w:r>
          </w:p>
        </w:tc>
        <w:tc>
          <w:tcPr>
            <w:tcW w:w="3259" w:type="dxa"/>
          </w:tcPr>
          <w:p w14:paraId="333FF3FB" w14:textId="77777777" w:rsidR="003456CB" w:rsidRPr="00725EB1" w:rsidRDefault="003456CB" w:rsidP="003456CB">
            <w:pPr>
              <w:spacing w:after="120" w:line="240" w:lineRule="auto"/>
              <w:rPr>
                <w:rFonts w:ascii="Cambria" w:eastAsia="Times New Roman" w:hAnsi="Cambria" w:cs="Times New Roman"/>
                <w:sz w:val="23"/>
                <w:szCs w:val="23"/>
                <w:lang w:val="bg-BG" w:bidi="ar-SA"/>
              </w:rPr>
            </w:pPr>
          </w:p>
        </w:tc>
        <w:tc>
          <w:tcPr>
            <w:tcW w:w="2321" w:type="dxa"/>
          </w:tcPr>
          <w:p w14:paraId="377FA60C" w14:textId="77777777" w:rsidR="003456CB" w:rsidRPr="003456CB" w:rsidRDefault="003456CB" w:rsidP="003456CB">
            <w:pPr>
              <w:spacing w:after="120" w:line="240" w:lineRule="auto"/>
              <w:rPr>
                <w:rFonts w:ascii="Cambria" w:eastAsia="Times New Roman" w:hAnsi="Cambria" w:cs="Times New Roman"/>
                <w:sz w:val="23"/>
                <w:szCs w:val="23"/>
                <w:lang w:val="bg-BG" w:bidi="ar-SA"/>
              </w:rPr>
            </w:pPr>
            <w:r w:rsidRPr="00725EB1">
              <w:rPr>
                <w:rFonts w:ascii="Cambria" w:eastAsia="Times New Roman" w:hAnsi="Cambria" w:cs="Times New Roman"/>
                <w:sz w:val="23"/>
                <w:szCs w:val="23"/>
                <w:lang w:val="bg-BG" w:bidi="ar-SA"/>
              </w:rPr>
              <w:t>Дата</w:t>
            </w:r>
          </w:p>
        </w:tc>
        <w:tc>
          <w:tcPr>
            <w:tcW w:w="2500" w:type="dxa"/>
          </w:tcPr>
          <w:p w14:paraId="3711E73D" w14:textId="77777777" w:rsidR="003456CB" w:rsidRPr="003456CB" w:rsidRDefault="003456CB" w:rsidP="003456CB">
            <w:pPr>
              <w:spacing w:after="120" w:line="240" w:lineRule="auto"/>
              <w:rPr>
                <w:rFonts w:ascii="Cambria" w:eastAsia="Times New Roman" w:hAnsi="Cambria" w:cs="Times New Roman"/>
                <w:sz w:val="23"/>
                <w:szCs w:val="23"/>
                <w:lang w:val="bg-BG" w:bidi="ar-SA"/>
              </w:rPr>
            </w:pPr>
          </w:p>
        </w:tc>
      </w:tr>
    </w:tbl>
    <w:p w14:paraId="1DCFDCC2" w14:textId="77777777" w:rsidR="00590649" w:rsidRDefault="00590649"/>
    <w:sectPr w:rsidR="00590649" w:rsidSect="005F18B2">
      <w:headerReference w:type="default" r:id="rId8"/>
      <w:footerReference w:type="default" r:id="rId9"/>
      <w:headerReference w:type="first" r:id="rId10"/>
      <w:pgSz w:w="11906" w:h="16838" w:code="9"/>
      <w:pgMar w:top="284" w:right="1134" w:bottom="567" w:left="1418" w:header="709" w:footer="709" w:gutter="0"/>
      <w:cols w:space="708"/>
      <w:titlePg/>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DDB04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6983BB" w16cex:dateUtc="2023-01-11T16:51:00Z"/>
  <w16cex:commentExtensible w16cex:durableId="27755E98" w16cex:dateUtc="2023-01-20T16:40:00Z"/>
  <w16cex:commentExtensible w16cex:durableId="276A8D0E" w16cex:dateUtc="2023-01-12T11: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FC5A584" w16cid:durableId="276983BB"/>
  <w16cid:commentId w16cid:paraId="24EED905" w16cid:durableId="27755E98"/>
  <w16cid:commentId w16cid:paraId="3C6BA693" w16cid:durableId="276A8D0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3DB74" w14:textId="77777777" w:rsidR="00C92E04" w:rsidRDefault="00C92E04">
      <w:pPr>
        <w:spacing w:after="0" w:line="240" w:lineRule="auto"/>
      </w:pPr>
      <w:r>
        <w:separator/>
      </w:r>
    </w:p>
  </w:endnote>
  <w:endnote w:type="continuationSeparator" w:id="0">
    <w:p w14:paraId="4266342E" w14:textId="77777777" w:rsidR="00C92E04" w:rsidRDefault="00C92E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F96718" w14:textId="0FF8BA2D" w:rsidR="00D135A3" w:rsidRPr="00A62371" w:rsidRDefault="00C064CC" w:rsidP="008A6199">
    <w:pPr>
      <w:pStyle w:val="Footer"/>
      <w:tabs>
        <w:tab w:val="clear" w:pos="9360"/>
        <w:tab w:val="right" w:pos="9356"/>
      </w:tabs>
      <w:rPr>
        <w:rFonts w:ascii="Calibri Light" w:hAnsi="Calibri Light" w:cs="Calibri Light"/>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PAGE </w:instrText>
    </w:r>
    <w:r w:rsidRPr="00A62371">
      <w:rPr>
        <w:rStyle w:val="PageNumber"/>
        <w:rFonts w:ascii="Calibri Light" w:hAnsi="Calibri Light" w:cs="Calibri Light"/>
      </w:rPr>
      <w:fldChar w:fldCharType="separate"/>
    </w:r>
    <w:r w:rsidR="00725EB1">
      <w:rPr>
        <w:rStyle w:val="PageNumber"/>
        <w:rFonts w:ascii="Calibri Light" w:hAnsi="Calibri Light" w:cs="Calibri Light"/>
        <w:noProof/>
      </w:rPr>
      <w:t>7</w:t>
    </w:r>
    <w:r w:rsidRPr="00A62371">
      <w:rPr>
        <w:rStyle w:val="PageNumber"/>
        <w:rFonts w:ascii="Calibri Light" w:hAnsi="Calibri Light" w:cs="Calibri Light"/>
      </w:rPr>
      <w:fldChar w:fldCharType="end"/>
    </w:r>
    <w:r w:rsidRPr="00A62371">
      <w:rPr>
        <w:rStyle w:val="PageNumber"/>
        <w:rFonts w:ascii="Calibri Light" w:hAnsi="Calibri Light" w:cs="Calibri Light"/>
      </w:rPr>
      <w:t>/</w:t>
    </w:r>
    <w:r w:rsidRPr="00A62371">
      <w:rPr>
        <w:rStyle w:val="PageNumber"/>
        <w:rFonts w:ascii="Calibri Light" w:hAnsi="Calibri Light" w:cs="Calibri Light"/>
      </w:rPr>
      <w:fldChar w:fldCharType="begin"/>
    </w:r>
    <w:r w:rsidRPr="00A62371">
      <w:rPr>
        <w:rStyle w:val="PageNumber"/>
        <w:rFonts w:ascii="Calibri Light" w:hAnsi="Calibri Light" w:cs="Calibri Light"/>
      </w:rPr>
      <w:instrText xml:space="preserve"> NUMPAGES </w:instrText>
    </w:r>
    <w:r w:rsidRPr="00A62371">
      <w:rPr>
        <w:rStyle w:val="PageNumber"/>
        <w:rFonts w:ascii="Calibri Light" w:hAnsi="Calibri Light" w:cs="Calibri Light"/>
      </w:rPr>
      <w:fldChar w:fldCharType="separate"/>
    </w:r>
    <w:r w:rsidR="00725EB1">
      <w:rPr>
        <w:rStyle w:val="PageNumber"/>
        <w:rFonts w:ascii="Calibri Light" w:hAnsi="Calibri Light" w:cs="Calibri Light"/>
        <w:noProof/>
      </w:rPr>
      <w:t>9</w:t>
    </w:r>
    <w:r w:rsidRPr="00A62371">
      <w:rPr>
        <w:rStyle w:val="PageNumber"/>
        <w:rFonts w:ascii="Calibri Light" w:hAnsi="Calibri Light" w:cs="Calibri Light"/>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EBAFE" w14:textId="77777777" w:rsidR="00C92E04" w:rsidRDefault="00C92E04">
      <w:pPr>
        <w:spacing w:after="0" w:line="240" w:lineRule="auto"/>
      </w:pPr>
      <w:r>
        <w:separator/>
      </w:r>
    </w:p>
  </w:footnote>
  <w:footnote w:type="continuationSeparator" w:id="0">
    <w:p w14:paraId="37D2D7D5" w14:textId="77777777" w:rsidR="00C92E04" w:rsidRDefault="00C92E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22548" w14:textId="77777777" w:rsidR="00D135A3" w:rsidRDefault="00C92E04">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4" w:type="dxa"/>
      <w:tblLook w:val="04A0" w:firstRow="1" w:lastRow="0" w:firstColumn="1" w:lastColumn="0" w:noHBand="0" w:noVBand="1"/>
    </w:tblPr>
    <w:tblGrid>
      <w:gridCol w:w="2830"/>
      <w:gridCol w:w="3941"/>
      <w:gridCol w:w="2863"/>
    </w:tblGrid>
    <w:tr w:rsidR="00905594" w:rsidRPr="00905594" w14:paraId="7D0B38AA" w14:textId="77777777" w:rsidTr="00725EB1">
      <w:trPr>
        <w:trHeight w:val="1545"/>
      </w:trPr>
      <w:tc>
        <w:tcPr>
          <w:tcW w:w="2830" w:type="dxa"/>
          <w:shd w:val="clear" w:color="auto" w:fill="auto"/>
        </w:tcPr>
        <w:p w14:paraId="472EEE50" w14:textId="77777777" w:rsidR="00905594" w:rsidRPr="00905594" w:rsidRDefault="00C064CC" w:rsidP="00922004">
          <w:pPr>
            <w:jc w:val="center"/>
            <w:rPr>
              <w:sz w:val="28"/>
              <w:szCs w:val="28"/>
              <w:lang w:val="bg-BG"/>
            </w:rPr>
          </w:pPr>
          <w:r>
            <w:rPr>
              <w:noProof/>
              <w:lang w:val="en-GB" w:eastAsia="en-GB" w:bidi="ar-SA"/>
            </w:rPr>
            <w:drawing>
              <wp:anchor distT="0" distB="0" distL="114300" distR="114300" simplePos="0" relativeHeight="251659264" behindDoc="0" locked="0" layoutInCell="1" allowOverlap="1" wp14:anchorId="7A260896" wp14:editId="20245728">
                <wp:simplePos x="0" y="0"/>
                <wp:positionH relativeFrom="column">
                  <wp:posOffset>252095</wp:posOffset>
                </wp:positionH>
                <wp:positionV relativeFrom="paragraph">
                  <wp:posOffset>82550</wp:posOffset>
                </wp:positionV>
                <wp:extent cx="1002665" cy="600075"/>
                <wp:effectExtent l="0" t="0" r="0" b="0"/>
                <wp:wrapNone/>
                <wp:docPr id="4"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7956B7" w14:textId="77777777" w:rsidR="00905594" w:rsidRPr="00905594" w:rsidRDefault="00C92E04" w:rsidP="00922004">
          <w:pPr>
            <w:jc w:val="center"/>
            <w:rPr>
              <w:b/>
              <w:sz w:val="14"/>
              <w:szCs w:val="14"/>
              <w:lang w:val="bg-BG"/>
            </w:rPr>
          </w:pPr>
        </w:p>
        <w:p w14:paraId="40009AA6" w14:textId="77777777" w:rsidR="00905594" w:rsidRPr="00905594" w:rsidRDefault="00C92E04" w:rsidP="00922004">
          <w:pPr>
            <w:jc w:val="center"/>
            <w:rPr>
              <w:b/>
              <w:sz w:val="14"/>
              <w:szCs w:val="14"/>
              <w:lang w:val="bg-BG"/>
            </w:rPr>
          </w:pPr>
        </w:p>
        <w:p w14:paraId="7239A8FE" w14:textId="77777777" w:rsidR="00905594" w:rsidRPr="00905594" w:rsidRDefault="00C064CC" w:rsidP="00922004">
          <w:pPr>
            <w:tabs>
              <w:tab w:val="center" w:pos="4153"/>
              <w:tab w:val="right" w:pos="9356"/>
            </w:tabs>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29151E8C" w14:textId="77777777" w:rsidR="00905594" w:rsidRPr="00905594" w:rsidRDefault="00C064CC"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СледващоПоколениеЕС</w:t>
          </w:r>
        </w:p>
      </w:tc>
      <w:tc>
        <w:tcPr>
          <w:tcW w:w="3941" w:type="dxa"/>
          <w:shd w:val="clear" w:color="auto" w:fill="auto"/>
        </w:tcPr>
        <w:p w14:paraId="2A41A785" w14:textId="77777777" w:rsidR="00905594" w:rsidRPr="00905594" w:rsidRDefault="00C064CC" w:rsidP="00922004">
          <w:pPr>
            <w:spacing w:before="120" w:after="120"/>
            <w:jc w:val="center"/>
            <w:rPr>
              <w:rFonts w:ascii="Arial" w:hAnsi="Arial" w:cs="Arial"/>
              <w:b/>
              <w:bCs/>
              <w:lang w:val="bg-BG"/>
            </w:rPr>
          </w:pPr>
          <w:r w:rsidRPr="00922004">
            <w:rPr>
              <w:noProof/>
              <w:sz w:val="20"/>
              <w:lang w:val="en-GB" w:eastAsia="en-GB" w:bidi="ar-SA"/>
            </w:rPr>
            <w:drawing>
              <wp:inline distT="0" distB="0" distL="0" distR="0" wp14:anchorId="2D306C54" wp14:editId="35B8A157">
                <wp:extent cx="685800" cy="609600"/>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33C457CF" w14:textId="77777777" w:rsidR="00905594" w:rsidRPr="00905594" w:rsidRDefault="00C064CC"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0E696669" w14:textId="77777777" w:rsidR="00905594" w:rsidRPr="00905594" w:rsidRDefault="00C064CC" w:rsidP="00922004">
          <w:pPr>
            <w:tabs>
              <w:tab w:val="center" w:pos="4153"/>
              <w:tab w:val="right" w:pos="9356"/>
            </w:tabs>
            <w:jc w:val="both"/>
            <w:rPr>
              <w:rFonts w:ascii="Arial" w:hAnsi="Arial" w:cs="Arial"/>
              <w:b/>
              <w:bCs/>
              <w:snapToGrid w:val="0"/>
              <w:lang w:val="bg-BG"/>
            </w:rPr>
          </w:pPr>
          <w:r>
            <w:rPr>
              <w:noProof/>
              <w:lang w:val="en-GB" w:eastAsia="en-GB" w:bidi="ar-SA"/>
            </w:rPr>
            <w:drawing>
              <wp:anchor distT="0" distB="0" distL="114300" distR="114300" simplePos="0" relativeHeight="251660288" behindDoc="0" locked="0" layoutInCell="1" allowOverlap="1" wp14:anchorId="071263BF" wp14:editId="67894165">
                <wp:simplePos x="0" y="0"/>
                <wp:positionH relativeFrom="column">
                  <wp:posOffset>347980</wp:posOffset>
                </wp:positionH>
                <wp:positionV relativeFrom="paragraph">
                  <wp:posOffset>137795</wp:posOffset>
                </wp:positionV>
                <wp:extent cx="790575" cy="66230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8A852F" w14:textId="77777777" w:rsidR="00905594" w:rsidRPr="00905594" w:rsidRDefault="00C92E04" w:rsidP="00922004">
          <w:pPr>
            <w:tabs>
              <w:tab w:val="center" w:pos="4153"/>
              <w:tab w:val="right" w:pos="9356"/>
            </w:tabs>
            <w:jc w:val="both"/>
            <w:rPr>
              <w:rFonts w:ascii="Arial" w:hAnsi="Arial" w:cs="Arial"/>
              <w:b/>
              <w:bCs/>
              <w:snapToGrid w:val="0"/>
              <w:lang w:val="bg-BG"/>
            </w:rPr>
          </w:pPr>
        </w:p>
        <w:p w14:paraId="6924615F" w14:textId="77777777" w:rsidR="00905594" w:rsidRPr="00905594" w:rsidRDefault="00C92E04" w:rsidP="00922004">
          <w:pPr>
            <w:tabs>
              <w:tab w:val="center" w:pos="4153"/>
              <w:tab w:val="right" w:pos="9356"/>
            </w:tabs>
            <w:jc w:val="both"/>
            <w:rPr>
              <w:rFonts w:ascii="Arial" w:hAnsi="Arial" w:cs="Arial"/>
              <w:b/>
              <w:bCs/>
              <w:snapToGrid w:val="0"/>
              <w:lang w:val="bg-BG"/>
            </w:rPr>
          </w:pPr>
        </w:p>
        <w:p w14:paraId="33B858BF" w14:textId="77777777" w:rsidR="00905594" w:rsidRPr="00905594" w:rsidRDefault="00C92E04" w:rsidP="00922004">
          <w:pPr>
            <w:tabs>
              <w:tab w:val="center" w:pos="4153"/>
              <w:tab w:val="right" w:pos="9356"/>
            </w:tabs>
            <w:jc w:val="both"/>
            <w:rPr>
              <w:rFonts w:ascii="Arial" w:hAnsi="Arial" w:cs="Arial"/>
              <w:b/>
              <w:bCs/>
              <w:snapToGrid w:val="0"/>
              <w:lang w:val="bg-BG"/>
            </w:rPr>
          </w:pPr>
        </w:p>
        <w:p w14:paraId="42316C0E" w14:textId="77777777" w:rsidR="00905594" w:rsidRPr="00905594" w:rsidRDefault="00C064CC" w:rsidP="00922004">
          <w:pPr>
            <w:tabs>
              <w:tab w:val="center" w:pos="4153"/>
              <w:tab w:val="right" w:pos="9356"/>
            </w:tabs>
            <w:jc w:val="both"/>
            <w:rPr>
              <w:rFonts w:ascii="Arial" w:hAnsi="Arial" w:cs="Arial"/>
              <w:b/>
              <w:bCs/>
              <w:snapToGrid w:val="0"/>
              <w:lang w:val="bg-BG"/>
            </w:rPr>
          </w:pPr>
          <w:r w:rsidRPr="00482E11">
            <w:rPr>
              <w:rFonts w:ascii="Arial" w:hAnsi="Arial" w:cs="Arial"/>
              <w:b/>
              <w:bCs/>
              <w:snapToGrid w:val="0"/>
              <w:lang w:val="ru-RU"/>
            </w:rPr>
            <w:t xml:space="preserve">  </w:t>
          </w:r>
          <w:r w:rsidRPr="00905594">
            <w:rPr>
              <w:rFonts w:ascii="Arial" w:hAnsi="Arial" w:cs="Arial"/>
              <w:b/>
              <w:bCs/>
              <w:snapToGrid w:val="0"/>
              <w:lang w:val="bg-BG"/>
            </w:rPr>
            <w:t>Република България</w:t>
          </w:r>
        </w:p>
      </w:tc>
    </w:tr>
  </w:tbl>
  <w:p w14:paraId="3289BAF5" w14:textId="77777777" w:rsidR="00905594" w:rsidRDefault="00C92E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25DF24F1"/>
    <w:multiLevelType w:val="hybridMultilevel"/>
    <w:tmpl w:val="B388170C"/>
    <w:lvl w:ilvl="0" w:tplc="19B6B678">
      <w:start w:val="1"/>
      <w:numFmt w:val="decimal"/>
      <w:lvlText w:val="6.%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B4051E7"/>
    <w:multiLevelType w:val="multilevel"/>
    <w:tmpl w:val="83BE6E4E"/>
    <w:lvl w:ilvl="0">
      <w:start w:val="6"/>
      <w:numFmt w:val="decimal"/>
      <w:lvlText w:val="%1"/>
      <w:lvlJc w:val="left"/>
      <w:pPr>
        <w:ind w:left="480" w:hanging="480"/>
      </w:pPr>
      <w:rPr>
        <w:rFonts w:hint="default"/>
        <w:color w:val="000000" w:themeColor="text1"/>
      </w:rPr>
    </w:lvl>
    <w:lvl w:ilvl="1">
      <w:start w:val="3"/>
      <w:numFmt w:val="decimal"/>
      <w:lvlText w:val="%1.%2"/>
      <w:lvlJc w:val="left"/>
      <w:pPr>
        <w:ind w:left="480" w:hanging="480"/>
      </w:pPr>
      <w:rPr>
        <w:rFonts w:hint="default"/>
        <w:color w:val="000000" w:themeColor="text1"/>
      </w:rPr>
    </w:lvl>
    <w:lvl w:ilvl="2">
      <w:start w:val="9"/>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8">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F697B5A"/>
    <w:multiLevelType w:val="multilevel"/>
    <w:tmpl w:val="DA66F502"/>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2674E39"/>
    <w:multiLevelType w:val="multilevel"/>
    <w:tmpl w:val="6E6A6128"/>
    <w:lvl w:ilvl="0">
      <w:start w:val="1"/>
      <w:numFmt w:val="decimal"/>
      <w:lvlText w:val="Чл.%1."/>
      <w:lvlJc w:val="left"/>
      <w:pPr>
        <w:ind w:left="928" w:hanging="360"/>
      </w:pPr>
      <w:rPr>
        <w:rFonts w:hint="default"/>
        <w:b/>
        <w:i w:val="0"/>
        <w:sz w:val="24"/>
        <w:szCs w:val="24"/>
      </w:rPr>
    </w:lvl>
    <w:lvl w:ilvl="1">
      <w:start w:val="1"/>
      <w:numFmt w:val="decimal"/>
      <w:isLgl/>
      <w:lvlText w:val="%1.%2."/>
      <w:lvlJc w:val="left"/>
      <w:pPr>
        <w:ind w:left="1068" w:hanging="360"/>
      </w:pPr>
      <w:rPr>
        <w:rFonts w:hint="default"/>
        <w:b w:val="0"/>
        <w:i w:val="0"/>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14">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1EE038B"/>
    <w:multiLevelType w:val="hybridMultilevel"/>
    <w:tmpl w:val="258CD182"/>
    <w:lvl w:ilvl="0" w:tplc="E7C4EBC8">
      <w:start w:val="20"/>
      <w:numFmt w:val="bullet"/>
      <w:lvlText w:val="-"/>
      <w:lvlJc w:val="left"/>
      <w:pPr>
        <w:ind w:left="1083" w:hanging="360"/>
      </w:pPr>
      <w:rPr>
        <w:rFonts w:ascii="Calibri" w:eastAsiaTheme="minorHAnsi" w:hAnsi="Calibri" w:cs="Calibri" w:hint="default"/>
      </w:rPr>
    </w:lvl>
    <w:lvl w:ilvl="1" w:tplc="04020003" w:tentative="1">
      <w:start w:val="1"/>
      <w:numFmt w:val="bullet"/>
      <w:lvlText w:val="o"/>
      <w:lvlJc w:val="left"/>
      <w:pPr>
        <w:ind w:left="1803" w:hanging="360"/>
      </w:pPr>
      <w:rPr>
        <w:rFonts w:ascii="Courier New" w:hAnsi="Courier New" w:cs="Courier New" w:hint="default"/>
      </w:rPr>
    </w:lvl>
    <w:lvl w:ilvl="2" w:tplc="04020005" w:tentative="1">
      <w:start w:val="1"/>
      <w:numFmt w:val="bullet"/>
      <w:lvlText w:val=""/>
      <w:lvlJc w:val="left"/>
      <w:pPr>
        <w:ind w:left="2523" w:hanging="360"/>
      </w:pPr>
      <w:rPr>
        <w:rFonts w:ascii="Wingdings" w:hAnsi="Wingdings" w:hint="default"/>
      </w:rPr>
    </w:lvl>
    <w:lvl w:ilvl="3" w:tplc="04020001" w:tentative="1">
      <w:start w:val="1"/>
      <w:numFmt w:val="bullet"/>
      <w:lvlText w:val=""/>
      <w:lvlJc w:val="left"/>
      <w:pPr>
        <w:ind w:left="3243" w:hanging="360"/>
      </w:pPr>
      <w:rPr>
        <w:rFonts w:ascii="Symbol" w:hAnsi="Symbol" w:hint="default"/>
      </w:rPr>
    </w:lvl>
    <w:lvl w:ilvl="4" w:tplc="04020003" w:tentative="1">
      <w:start w:val="1"/>
      <w:numFmt w:val="bullet"/>
      <w:lvlText w:val="o"/>
      <w:lvlJc w:val="left"/>
      <w:pPr>
        <w:ind w:left="3963" w:hanging="360"/>
      </w:pPr>
      <w:rPr>
        <w:rFonts w:ascii="Courier New" w:hAnsi="Courier New" w:cs="Courier New" w:hint="default"/>
      </w:rPr>
    </w:lvl>
    <w:lvl w:ilvl="5" w:tplc="04020005" w:tentative="1">
      <w:start w:val="1"/>
      <w:numFmt w:val="bullet"/>
      <w:lvlText w:val=""/>
      <w:lvlJc w:val="left"/>
      <w:pPr>
        <w:ind w:left="4683" w:hanging="360"/>
      </w:pPr>
      <w:rPr>
        <w:rFonts w:ascii="Wingdings" w:hAnsi="Wingdings" w:hint="default"/>
      </w:rPr>
    </w:lvl>
    <w:lvl w:ilvl="6" w:tplc="04020001" w:tentative="1">
      <w:start w:val="1"/>
      <w:numFmt w:val="bullet"/>
      <w:lvlText w:val=""/>
      <w:lvlJc w:val="left"/>
      <w:pPr>
        <w:ind w:left="5403" w:hanging="360"/>
      </w:pPr>
      <w:rPr>
        <w:rFonts w:ascii="Symbol" w:hAnsi="Symbol" w:hint="default"/>
      </w:rPr>
    </w:lvl>
    <w:lvl w:ilvl="7" w:tplc="04020003" w:tentative="1">
      <w:start w:val="1"/>
      <w:numFmt w:val="bullet"/>
      <w:lvlText w:val="o"/>
      <w:lvlJc w:val="left"/>
      <w:pPr>
        <w:ind w:left="6123" w:hanging="360"/>
      </w:pPr>
      <w:rPr>
        <w:rFonts w:ascii="Courier New" w:hAnsi="Courier New" w:cs="Courier New" w:hint="default"/>
      </w:rPr>
    </w:lvl>
    <w:lvl w:ilvl="8" w:tplc="04020005" w:tentative="1">
      <w:start w:val="1"/>
      <w:numFmt w:val="bullet"/>
      <w:lvlText w:val=""/>
      <w:lvlJc w:val="left"/>
      <w:pPr>
        <w:ind w:left="6843" w:hanging="360"/>
      </w:pPr>
      <w:rPr>
        <w:rFonts w:ascii="Wingdings" w:hAnsi="Wingdings" w:hint="default"/>
      </w:rPr>
    </w:lvl>
  </w:abstractNum>
  <w:num w:numId="1">
    <w:abstractNumId w:val="6"/>
  </w:num>
  <w:num w:numId="2">
    <w:abstractNumId w:val="2"/>
  </w:num>
  <w:num w:numId="3">
    <w:abstractNumId w:val="15"/>
  </w:num>
  <w:num w:numId="4">
    <w:abstractNumId w:val="3"/>
  </w:num>
  <w:num w:numId="5">
    <w:abstractNumId w:val="1"/>
  </w:num>
  <w:num w:numId="6">
    <w:abstractNumId w:val="5"/>
  </w:num>
  <w:num w:numId="7">
    <w:abstractNumId w:val="9"/>
  </w:num>
  <w:num w:numId="8">
    <w:abstractNumId w:val="0"/>
  </w:num>
  <w:num w:numId="9">
    <w:abstractNumId w:val="8"/>
  </w:num>
  <w:num w:numId="10">
    <w:abstractNumId w:val="14"/>
  </w:num>
  <w:num w:numId="11">
    <w:abstractNumId w:val="10"/>
  </w:num>
  <w:num w:numId="12">
    <w:abstractNumId w:val="11"/>
  </w:num>
  <w:num w:numId="13">
    <w:abstractNumId w:val="4"/>
  </w:num>
  <w:num w:numId="14">
    <w:abstractNumId w:val="13"/>
  </w:num>
  <w:num w:numId="15">
    <w:abstractNumId w:val="16"/>
  </w:num>
  <w:num w:numId="16">
    <w:abstractNumId w:val="12"/>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6CB"/>
    <w:rsid w:val="00047138"/>
    <w:rsid w:val="00053DEB"/>
    <w:rsid w:val="000B0587"/>
    <w:rsid w:val="000B67C5"/>
    <w:rsid w:val="000C19E2"/>
    <w:rsid w:val="000E0E01"/>
    <w:rsid w:val="000F1441"/>
    <w:rsid w:val="00185522"/>
    <w:rsid w:val="002148F6"/>
    <w:rsid w:val="00222357"/>
    <w:rsid w:val="00237290"/>
    <w:rsid w:val="002C1DF7"/>
    <w:rsid w:val="00326847"/>
    <w:rsid w:val="003456CB"/>
    <w:rsid w:val="003861B4"/>
    <w:rsid w:val="003C277B"/>
    <w:rsid w:val="003F26BF"/>
    <w:rsid w:val="00444D51"/>
    <w:rsid w:val="00482E11"/>
    <w:rsid w:val="004D3D25"/>
    <w:rsid w:val="004D41E2"/>
    <w:rsid w:val="004D6B5B"/>
    <w:rsid w:val="00590649"/>
    <w:rsid w:val="00632B23"/>
    <w:rsid w:val="00650EBF"/>
    <w:rsid w:val="006D593B"/>
    <w:rsid w:val="006E5A12"/>
    <w:rsid w:val="006F59A8"/>
    <w:rsid w:val="0070203D"/>
    <w:rsid w:val="00725EB1"/>
    <w:rsid w:val="00757490"/>
    <w:rsid w:val="007625C5"/>
    <w:rsid w:val="00774059"/>
    <w:rsid w:val="007907AB"/>
    <w:rsid w:val="00805510"/>
    <w:rsid w:val="008102CD"/>
    <w:rsid w:val="008C666F"/>
    <w:rsid w:val="008F4B9E"/>
    <w:rsid w:val="009401DF"/>
    <w:rsid w:val="00976AE1"/>
    <w:rsid w:val="00977392"/>
    <w:rsid w:val="00996AE7"/>
    <w:rsid w:val="009E581B"/>
    <w:rsid w:val="00A11D8C"/>
    <w:rsid w:val="00A26CDD"/>
    <w:rsid w:val="00A77448"/>
    <w:rsid w:val="00A81E1A"/>
    <w:rsid w:val="00AC0241"/>
    <w:rsid w:val="00B272D1"/>
    <w:rsid w:val="00BB7553"/>
    <w:rsid w:val="00BC1B60"/>
    <w:rsid w:val="00C064CC"/>
    <w:rsid w:val="00C176AA"/>
    <w:rsid w:val="00C92E04"/>
    <w:rsid w:val="00D15EB2"/>
    <w:rsid w:val="00D37385"/>
    <w:rsid w:val="00D77CC6"/>
    <w:rsid w:val="00E01759"/>
    <w:rsid w:val="00E242B6"/>
    <w:rsid w:val="00E33589"/>
    <w:rsid w:val="00E354A8"/>
    <w:rsid w:val="00E664FC"/>
    <w:rsid w:val="00E95AF2"/>
    <w:rsid w:val="00F30396"/>
    <w:rsid w:val="00F938BF"/>
    <w:rsid w:val="00FF570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20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5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6CB"/>
  </w:style>
  <w:style w:type="paragraph" w:styleId="Footer">
    <w:name w:val="footer"/>
    <w:basedOn w:val="Normal"/>
    <w:link w:val="FooterChar"/>
    <w:uiPriority w:val="99"/>
    <w:unhideWhenUsed/>
    <w:rsid w:val="00345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6CB"/>
  </w:style>
  <w:style w:type="character" w:styleId="PageNumber">
    <w:name w:val="page number"/>
    <w:basedOn w:val="DefaultParagraphFont"/>
    <w:rsid w:val="003456CB"/>
  </w:style>
  <w:style w:type="character" w:styleId="CommentReference">
    <w:name w:val="annotation reference"/>
    <w:uiPriority w:val="99"/>
    <w:rsid w:val="003456CB"/>
    <w:rPr>
      <w:sz w:val="16"/>
      <w:szCs w:val="16"/>
    </w:rPr>
  </w:style>
  <w:style w:type="paragraph" w:styleId="CommentText">
    <w:name w:val="annotation text"/>
    <w:basedOn w:val="Normal"/>
    <w:link w:val="CommentTextChar"/>
    <w:uiPriority w:val="99"/>
    <w:rsid w:val="003456CB"/>
    <w:pPr>
      <w:spacing w:after="0" w:line="240" w:lineRule="auto"/>
    </w:pPr>
    <w:rPr>
      <w:rFonts w:ascii="Times New Roman" w:eastAsia="Times New Roman" w:hAnsi="Times New Roman" w:cs="Times New Roman"/>
      <w:sz w:val="20"/>
      <w:szCs w:val="20"/>
      <w:lang w:val="fr-FR" w:bidi="ar-SA"/>
    </w:rPr>
  </w:style>
  <w:style w:type="character" w:customStyle="1" w:styleId="CommentTextChar">
    <w:name w:val="Comment Text Char"/>
    <w:basedOn w:val="DefaultParagraphFont"/>
    <w:link w:val="CommentText"/>
    <w:uiPriority w:val="99"/>
    <w:rsid w:val="003456CB"/>
    <w:rPr>
      <w:rFonts w:ascii="Times New Roman" w:eastAsia="Times New Roman" w:hAnsi="Times New Roman" w:cs="Times New Roman"/>
      <w:sz w:val="20"/>
      <w:szCs w:val="20"/>
      <w:lang w:val="fr-FR" w:bidi="ar-SA"/>
    </w:rPr>
  </w:style>
  <w:style w:type="paragraph" w:styleId="BalloonText">
    <w:name w:val="Balloon Text"/>
    <w:basedOn w:val="Normal"/>
    <w:link w:val="BalloonTextChar"/>
    <w:uiPriority w:val="99"/>
    <w:semiHidden/>
    <w:unhideWhenUsed/>
    <w:rsid w:val="00E95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AF2"/>
    <w:rPr>
      <w:rFonts w:ascii="Tahoma" w:hAnsi="Tahoma" w:cs="Tahoma"/>
      <w:sz w:val="16"/>
      <w:szCs w:val="16"/>
    </w:rPr>
  </w:style>
  <w:style w:type="paragraph" w:styleId="ListParagraph">
    <w:name w:val="List Paragraph"/>
    <w:basedOn w:val="Normal"/>
    <w:uiPriority w:val="34"/>
    <w:qFormat/>
    <w:rsid w:val="00E242B6"/>
    <w:pPr>
      <w:ind w:left="720"/>
      <w:contextualSpacing/>
    </w:pPr>
  </w:style>
  <w:style w:type="paragraph" w:styleId="CommentSubject">
    <w:name w:val="annotation subject"/>
    <w:basedOn w:val="CommentText"/>
    <w:next w:val="CommentText"/>
    <w:link w:val="CommentSubjectChar"/>
    <w:uiPriority w:val="99"/>
    <w:semiHidden/>
    <w:unhideWhenUsed/>
    <w:rsid w:val="00185522"/>
    <w:pPr>
      <w:spacing w:after="160"/>
    </w:pPr>
    <w:rPr>
      <w:rFonts w:asciiTheme="minorHAnsi" w:eastAsiaTheme="minorHAnsi" w:hAnsiTheme="minorHAnsi" w:cstheme="minorBidi"/>
      <w:b/>
      <w:bCs/>
      <w:lang w:val="en-US" w:bidi="he-IL"/>
    </w:rPr>
  </w:style>
  <w:style w:type="character" w:customStyle="1" w:styleId="CommentSubjectChar">
    <w:name w:val="Comment Subject Char"/>
    <w:basedOn w:val="CommentTextChar"/>
    <w:link w:val="CommentSubject"/>
    <w:uiPriority w:val="99"/>
    <w:semiHidden/>
    <w:rsid w:val="00185522"/>
    <w:rPr>
      <w:rFonts w:ascii="Times New Roman" w:eastAsia="Times New Roman" w:hAnsi="Times New Roman" w:cs="Times New Roman"/>
      <w:b/>
      <w:bCs/>
      <w:sz w:val="20"/>
      <w:szCs w:val="20"/>
      <w:lang w:val="fr-FR"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5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56CB"/>
  </w:style>
  <w:style w:type="paragraph" w:styleId="Footer">
    <w:name w:val="footer"/>
    <w:basedOn w:val="Normal"/>
    <w:link w:val="FooterChar"/>
    <w:uiPriority w:val="99"/>
    <w:unhideWhenUsed/>
    <w:rsid w:val="00345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56CB"/>
  </w:style>
  <w:style w:type="character" w:styleId="PageNumber">
    <w:name w:val="page number"/>
    <w:basedOn w:val="DefaultParagraphFont"/>
    <w:rsid w:val="003456CB"/>
  </w:style>
  <w:style w:type="character" w:styleId="CommentReference">
    <w:name w:val="annotation reference"/>
    <w:uiPriority w:val="99"/>
    <w:rsid w:val="003456CB"/>
    <w:rPr>
      <w:sz w:val="16"/>
      <w:szCs w:val="16"/>
    </w:rPr>
  </w:style>
  <w:style w:type="paragraph" w:styleId="CommentText">
    <w:name w:val="annotation text"/>
    <w:basedOn w:val="Normal"/>
    <w:link w:val="CommentTextChar"/>
    <w:uiPriority w:val="99"/>
    <w:rsid w:val="003456CB"/>
    <w:pPr>
      <w:spacing w:after="0" w:line="240" w:lineRule="auto"/>
    </w:pPr>
    <w:rPr>
      <w:rFonts w:ascii="Times New Roman" w:eastAsia="Times New Roman" w:hAnsi="Times New Roman" w:cs="Times New Roman"/>
      <w:sz w:val="20"/>
      <w:szCs w:val="20"/>
      <w:lang w:val="fr-FR" w:bidi="ar-SA"/>
    </w:rPr>
  </w:style>
  <w:style w:type="character" w:customStyle="1" w:styleId="CommentTextChar">
    <w:name w:val="Comment Text Char"/>
    <w:basedOn w:val="DefaultParagraphFont"/>
    <w:link w:val="CommentText"/>
    <w:uiPriority w:val="99"/>
    <w:rsid w:val="003456CB"/>
    <w:rPr>
      <w:rFonts w:ascii="Times New Roman" w:eastAsia="Times New Roman" w:hAnsi="Times New Roman" w:cs="Times New Roman"/>
      <w:sz w:val="20"/>
      <w:szCs w:val="20"/>
      <w:lang w:val="fr-FR" w:bidi="ar-SA"/>
    </w:rPr>
  </w:style>
  <w:style w:type="paragraph" w:styleId="BalloonText">
    <w:name w:val="Balloon Text"/>
    <w:basedOn w:val="Normal"/>
    <w:link w:val="BalloonTextChar"/>
    <w:uiPriority w:val="99"/>
    <w:semiHidden/>
    <w:unhideWhenUsed/>
    <w:rsid w:val="00E95A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AF2"/>
    <w:rPr>
      <w:rFonts w:ascii="Tahoma" w:hAnsi="Tahoma" w:cs="Tahoma"/>
      <w:sz w:val="16"/>
      <w:szCs w:val="16"/>
    </w:rPr>
  </w:style>
  <w:style w:type="paragraph" w:styleId="ListParagraph">
    <w:name w:val="List Paragraph"/>
    <w:basedOn w:val="Normal"/>
    <w:uiPriority w:val="34"/>
    <w:qFormat/>
    <w:rsid w:val="00E242B6"/>
    <w:pPr>
      <w:ind w:left="720"/>
      <w:contextualSpacing/>
    </w:pPr>
  </w:style>
  <w:style w:type="paragraph" w:styleId="CommentSubject">
    <w:name w:val="annotation subject"/>
    <w:basedOn w:val="CommentText"/>
    <w:next w:val="CommentText"/>
    <w:link w:val="CommentSubjectChar"/>
    <w:uiPriority w:val="99"/>
    <w:semiHidden/>
    <w:unhideWhenUsed/>
    <w:rsid w:val="00185522"/>
    <w:pPr>
      <w:spacing w:after="160"/>
    </w:pPr>
    <w:rPr>
      <w:rFonts w:asciiTheme="minorHAnsi" w:eastAsiaTheme="minorHAnsi" w:hAnsiTheme="minorHAnsi" w:cstheme="minorBidi"/>
      <w:b/>
      <w:bCs/>
      <w:lang w:val="en-US" w:bidi="he-IL"/>
    </w:rPr>
  </w:style>
  <w:style w:type="character" w:customStyle="1" w:styleId="CommentSubjectChar">
    <w:name w:val="Comment Subject Char"/>
    <w:basedOn w:val="CommentTextChar"/>
    <w:link w:val="CommentSubject"/>
    <w:uiPriority w:val="99"/>
    <w:semiHidden/>
    <w:rsid w:val="00185522"/>
    <w:rPr>
      <w:rFonts w:ascii="Times New Roman" w:eastAsia="Times New Roman" w:hAnsi="Times New Roman" w:cs="Times New Roman"/>
      <w:b/>
      <w:bCs/>
      <w:sz w:val="20"/>
      <w:szCs w:val="20"/>
      <w:lang w:val="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3615</Words>
  <Characters>20612</Characters>
  <Application>Microsoft Office Word</Application>
  <DocSecurity>0</DocSecurity>
  <Lines>171</Lines>
  <Paragraphs>48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Гергана Пашева</dc:creator>
  <cp:lastModifiedBy>Neli</cp:lastModifiedBy>
  <cp:revision>2</cp:revision>
  <dcterms:created xsi:type="dcterms:W3CDTF">2023-03-17T15:19:00Z</dcterms:created>
  <dcterms:modified xsi:type="dcterms:W3CDTF">2023-03-17T15:19:00Z</dcterms:modified>
</cp:coreProperties>
</file>