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2AE08" w14:textId="160A6C93" w:rsidR="00A16E5D" w:rsidRDefault="00A16E5D" w:rsidP="00B4114A">
      <w:pPr>
        <w:spacing w:after="0" w:line="276" w:lineRule="auto"/>
        <w:jc w:val="right"/>
        <w:rPr>
          <w:rFonts w:ascii="Cambria" w:hAnsi="Cambria" w:cstheme="minorHAnsi"/>
          <w:lang w:val="bg-BG"/>
        </w:rPr>
      </w:pPr>
      <w:r w:rsidRPr="00A16E5D">
        <w:rPr>
          <w:noProof/>
          <w:lang w:val="en-US"/>
        </w:rPr>
        <w:drawing>
          <wp:anchor distT="0" distB="0" distL="114300" distR="114300" simplePos="0" relativeHeight="251660288" behindDoc="0" locked="0" layoutInCell="1" allowOverlap="1" wp14:anchorId="34B4D823" wp14:editId="66D3EC7A">
            <wp:simplePos x="0" y="0"/>
            <wp:positionH relativeFrom="margin">
              <wp:posOffset>-52754</wp:posOffset>
            </wp:positionH>
            <wp:positionV relativeFrom="paragraph">
              <wp:posOffset>-668215</wp:posOffset>
            </wp:positionV>
            <wp:extent cx="5943600" cy="1178169"/>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6612"/>
                    <a:stretch/>
                  </pic:blipFill>
                  <pic:spPr bwMode="auto">
                    <a:xfrm>
                      <a:off x="0" y="0"/>
                      <a:ext cx="5943600" cy="11781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0912D7" w14:textId="77777777" w:rsidR="00A16E5D" w:rsidRDefault="00A16E5D" w:rsidP="00B4114A">
      <w:pPr>
        <w:spacing w:after="0" w:line="276" w:lineRule="auto"/>
        <w:jc w:val="right"/>
        <w:rPr>
          <w:rFonts w:ascii="Cambria" w:hAnsi="Cambria" w:cstheme="minorHAnsi"/>
          <w:lang w:val="bg-BG"/>
        </w:rPr>
      </w:pPr>
    </w:p>
    <w:p w14:paraId="1DB9F2E8" w14:textId="77777777" w:rsidR="00A16E5D" w:rsidRDefault="00A16E5D" w:rsidP="00B4114A">
      <w:pPr>
        <w:spacing w:after="0" w:line="276" w:lineRule="auto"/>
        <w:jc w:val="right"/>
        <w:rPr>
          <w:rFonts w:ascii="Cambria" w:hAnsi="Cambria" w:cstheme="minorHAnsi"/>
          <w:lang w:val="bg-BG"/>
        </w:rPr>
      </w:pPr>
    </w:p>
    <w:p w14:paraId="1E9C626D" w14:textId="77777777" w:rsidR="00B4114A" w:rsidRPr="00632915" w:rsidRDefault="00B4114A" w:rsidP="00B4114A">
      <w:pPr>
        <w:spacing w:after="0" w:line="276" w:lineRule="auto"/>
        <w:jc w:val="center"/>
        <w:rPr>
          <w:rFonts w:ascii="Cambria" w:hAnsi="Cambria" w:cstheme="minorHAnsi"/>
          <w:b/>
          <w:bCs/>
          <w:lang w:val="bg-BG"/>
        </w:rPr>
      </w:pPr>
      <w:bookmarkStart w:id="0" w:name="_GoBack"/>
      <w:bookmarkEnd w:id="0"/>
    </w:p>
    <w:p w14:paraId="184AAC15" w14:textId="77777777" w:rsidR="00A16E5D" w:rsidRDefault="00A16E5D" w:rsidP="00B4114A">
      <w:pPr>
        <w:spacing w:after="0" w:line="276" w:lineRule="auto"/>
        <w:jc w:val="center"/>
        <w:rPr>
          <w:rFonts w:ascii="Cambria" w:hAnsi="Cambria" w:cstheme="minorHAnsi"/>
          <w:b/>
          <w:bCs/>
          <w:lang w:val="bg-BG"/>
        </w:rPr>
      </w:pPr>
    </w:p>
    <w:p w14:paraId="7078B847" w14:textId="17A461DA" w:rsidR="00B4114A" w:rsidRPr="00632915" w:rsidRDefault="00B4114A" w:rsidP="00B4114A">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 (обр. 3)</w:t>
      </w:r>
    </w:p>
    <w:p w14:paraId="62425CF9" w14:textId="77777777" w:rsidR="00B4114A" w:rsidRPr="00632915" w:rsidRDefault="00B4114A" w:rsidP="00B4114A">
      <w:pPr>
        <w:spacing w:after="0" w:line="276" w:lineRule="auto"/>
        <w:jc w:val="center"/>
        <w:rPr>
          <w:rFonts w:ascii="Cambria" w:hAnsi="Cambria" w:cstheme="minorHAnsi"/>
          <w:b/>
          <w:bCs/>
          <w:lang w:val="en-US"/>
        </w:rPr>
      </w:pPr>
      <w:r w:rsidRPr="00632915">
        <w:rPr>
          <w:rFonts w:ascii="Cambria" w:hAnsi="Cambria" w:cstheme="minorHAnsi"/>
          <w:b/>
          <w:bCs/>
          <w:lang w:val="bg-BG"/>
        </w:rPr>
        <w:t>за самооценка относно съблюдаване на принципа за ненанасяне на значителни вреди (</w:t>
      </w:r>
      <w:r w:rsidRPr="00632915">
        <w:rPr>
          <w:rFonts w:ascii="Cambria" w:hAnsi="Cambria" w:cstheme="minorHAnsi"/>
          <w:b/>
          <w:bCs/>
          <w:lang w:val="en-US"/>
        </w:rPr>
        <w:t>DNSH)</w:t>
      </w:r>
    </w:p>
    <w:p w14:paraId="26F5ACED" w14:textId="77777777" w:rsidR="00B4114A" w:rsidRPr="00632915" w:rsidRDefault="00B4114A" w:rsidP="00B4114A">
      <w:pPr>
        <w:spacing w:after="0" w:line="276" w:lineRule="auto"/>
        <w:jc w:val="center"/>
        <w:rPr>
          <w:rFonts w:ascii="Cambria" w:hAnsi="Cambria" w:cstheme="minorHAnsi"/>
          <w:b/>
          <w:bCs/>
          <w:lang w:val="bg-BG"/>
        </w:rPr>
      </w:pPr>
      <w:r w:rsidRPr="00632915">
        <w:rPr>
          <w:rFonts w:ascii="Cambria" w:hAnsi="Cambria" w:cstheme="minorHAnsi"/>
          <w:b/>
          <w:bCs/>
          <w:lang w:val="bg-BG"/>
        </w:rPr>
        <w:t>от инфраструктурни инвестиционни проекти (закупуване на оборудване и инфраструктура)</w:t>
      </w:r>
    </w:p>
    <w:p w14:paraId="39F7CC3A" w14:textId="77777777" w:rsidR="00B4114A" w:rsidRPr="00632915" w:rsidRDefault="00B4114A" w:rsidP="00B4114A">
      <w:pPr>
        <w:spacing w:after="0" w:line="276" w:lineRule="auto"/>
        <w:jc w:val="both"/>
        <w:rPr>
          <w:rFonts w:ascii="Cambria" w:hAnsi="Cambria" w:cstheme="minorHAnsi"/>
          <w:lang w:val="bg-BG"/>
        </w:rPr>
      </w:pPr>
    </w:p>
    <w:p w14:paraId="72629586" w14:textId="77777777" w:rsidR="00B4114A" w:rsidRPr="00632915" w:rsidRDefault="00B4114A" w:rsidP="00B4114A">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оборудване, технология или 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4B0F2852" w14:textId="77777777" w:rsidR="00B4114A" w:rsidRPr="00632915" w:rsidRDefault="00B4114A" w:rsidP="00B4114A">
      <w:pPr>
        <w:spacing w:after="0" w:line="276" w:lineRule="auto"/>
        <w:jc w:val="both"/>
        <w:rPr>
          <w:rFonts w:ascii="Cambria" w:hAnsi="Cambria" w:cstheme="minorHAnsi"/>
          <w:lang w:val="bg-BG"/>
        </w:rPr>
      </w:pPr>
    </w:p>
    <w:p w14:paraId="1F8AA855" w14:textId="77777777" w:rsidR="00B4114A" w:rsidRPr="00632915" w:rsidRDefault="00B4114A" w:rsidP="00B4114A">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на Европейската Комисия за прилагане на принципа за „ненанасяне на значителни вреди“ (DNSH) съгласно Регламента за Механизма за възстановяване и устойчивост, 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предоставят като приложение към попълнения формуляр за кандидатстване.</w:t>
      </w:r>
    </w:p>
    <w:p w14:paraId="256896DA" w14:textId="77777777" w:rsidR="00B4114A" w:rsidRPr="00632915" w:rsidRDefault="00B4114A" w:rsidP="00B4114A">
      <w:pPr>
        <w:spacing w:after="0" w:line="276" w:lineRule="auto"/>
        <w:ind w:firstLine="284"/>
        <w:jc w:val="both"/>
        <w:rPr>
          <w:rFonts w:ascii="Cambria" w:hAnsi="Cambria" w:cstheme="minorHAnsi"/>
          <w:sz w:val="20"/>
          <w:szCs w:val="20"/>
          <w:lang w:val="bg-BG"/>
        </w:rPr>
      </w:pPr>
    </w:p>
    <w:p w14:paraId="386FF818" w14:textId="77777777" w:rsidR="00B4114A" w:rsidRPr="00632915" w:rsidRDefault="00B4114A" w:rsidP="00B4114A">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en-US"/>
        </w:rPr>
        <mc:AlternateContent>
          <mc:Choice Requires="wps">
            <w:drawing>
              <wp:anchor distT="45720" distB="45720" distL="114300" distR="114300" simplePos="0" relativeHeight="251659264" behindDoc="0" locked="0" layoutInCell="1" allowOverlap="1" wp14:anchorId="7330470C" wp14:editId="1E228EF3">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43B4343C" w14:textId="77777777" w:rsidR="00B4114A" w:rsidRPr="00632915" w:rsidRDefault="00B4114A" w:rsidP="00B4114A">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p>
                          <w:p w14:paraId="7344B03E" w14:textId="77777777" w:rsidR="00B4114A" w:rsidRPr="00632915" w:rsidRDefault="00B4114A" w:rsidP="00B4114A">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2D2A418C"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492157A0"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Ако съгласно Приложение VI към Регламента за създаване на Механизъм за възстановяване и устойчивост (2021/241) (</w:t>
                            </w:r>
                            <w:hyperlink r:id="rId9" w:history="1">
                              <w:r w:rsidRPr="00632915">
                                <w:rPr>
                                  <w:rStyle w:val="Hyperlink"/>
                                  <w:rFonts w:ascii="Cambria" w:hAnsi="Cambria" w:cs="Arial"/>
                                  <w:sz w:val="20"/>
                                  <w:szCs w:val="20"/>
                                  <w:lang w:val="bg-BG"/>
                                </w:rPr>
                                <w:t>https://eur-lex.europa.eu/legal-content/BG/TXT/?uri=CELEX%3A32021R0241</w:t>
                              </w:r>
                            </w:hyperlink>
                            <w:r w:rsidRPr="00632915">
                              <w:rPr>
                                <w:rFonts w:ascii="Cambria" w:hAnsi="Cambria" w:cs="Arial"/>
                                <w:sz w:val="20"/>
                                <w:szCs w:val="20"/>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F2B5EB5"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се представя 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330470C"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43B4343C" w14:textId="77777777" w:rsidR="00B4114A" w:rsidRPr="00632915" w:rsidRDefault="00B4114A" w:rsidP="00B4114A">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p>
                    <w:p w14:paraId="7344B03E" w14:textId="77777777" w:rsidR="00B4114A" w:rsidRPr="00632915" w:rsidRDefault="00B4114A" w:rsidP="00B4114A">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2D2A418C"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492157A0"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Ако съгласно Приложение VI към Регламента за създаване на Механизъм за възстановяване и устойчивост (2021/241) (</w:t>
                      </w:r>
                      <w:hyperlink r:id="rId11" w:history="1">
                        <w:r w:rsidRPr="00632915">
                          <w:rPr>
                            <w:rStyle w:val="Hyperlink"/>
                            <w:rFonts w:ascii="Cambria" w:hAnsi="Cambria" w:cs="Arial"/>
                            <w:sz w:val="20"/>
                            <w:szCs w:val="20"/>
                            <w:lang w:val="bg-BG"/>
                          </w:rPr>
                          <w:t>https://eur-lex.europa.eu/legal-content/BG/TXT/?uri=CELEX%3A32021R0241</w:t>
                        </w:r>
                      </w:hyperlink>
                      <w:r w:rsidRPr="00632915">
                        <w:rPr>
                          <w:rFonts w:ascii="Cambria" w:hAnsi="Cambria" w:cs="Arial"/>
                          <w:sz w:val="20"/>
                          <w:szCs w:val="20"/>
                          <w:lang w:val="bg-BG"/>
                        </w:rPr>
                        <w:t xml:space="preserve">) 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F2B5EB5" w14:textId="77777777" w:rsidR="00B4114A" w:rsidRPr="00632915" w:rsidRDefault="00B4114A" w:rsidP="00B4114A">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се представя кратко описание и обосновка защо се счита, че критерият е изпълнен. </w:t>
                      </w:r>
                    </w:p>
                  </w:txbxContent>
                </v:textbox>
                <w10:wrap anchorx="margin"/>
              </v:shape>
            </w:pict>
          </mc:Fallback>
        </mc:AlternateContent>
      </w:r>
    </w:p>
    <w:p w14:paraId="3A8D94D3" w14:textId="77777777" w:rsidR="00B4114A" w:rsidRPr="00632915" w:rsidRDefault="00B4114A" w:rsidP="00B4114A">
      <w:pPr>
        <w:spacing w:after="0" w:line="276" w:lineRule="auto"/>
        <w:ind w:firstLine="284"/>
        <w:jc w:val="both"/>
        <w:rPr>
          <w:rFonts w:ascii="Cambria" w:hAnsi="Cambria" w:cstheme="minorHAnsi"/>
          <w:sz w:val="20"/>
          <w:szCs w:val="20"/>
          <w:lang w:val="bg-BG"/>
        </w:rPr>
      </w:pPr>
    </w:p>
    <w:p w14:paraId="64932FE7" w14:textId="77777777" w:rsidR="00B4114A" w:rsidRPr="00632915" w:rsidRDefault="00B4114A" w:rsidP="00B4114A">
      <w:pPr>
        <w:spacing w:after="0" w:line="276" w:lineRule="auto"/>
        <w:ind w:firstLine="284"/>
        <w:jc w:val="both"/>
        <w:rPr>
          <w:rFonts w:ascii="Cambria" w:hAnsi="Cambria" w:cstheme="minorHAnsi"/>
          <w:sz w:val="20"/>
          <w:szCs w:val="20"/>
          <w:lang w:val="bg-BG"/>
        </w:rPr>
      </w:pPr>
    </w:p>
    <w:p w14:paraId="7DA1952B" w14:textId="77777777" w:rsidR="00B4114A" w:rsidRPr="00632915" w:rsidRDefault="00B4114A" w:rsidP="00B4114A">
      <w:pPr>
        <w:rPr>
          <w:rFonts w:ascii="Cambria" w:hAnsi="Cambria" w:cstheme="minorHAnsi"/>
          <w:lang w:val="bg-BG"/>
        </w:rPr>
      </w:pPr>
    </w:p>
    <w:p w14:paraId="3AE4942C" w14:textId="77777777" w:rsidR="00B4114A" w:rsidRPr="00632915" w:rsidRDefault="00B4114A" w:rsidP="00B4114A">
      <w:pPr>
        <w:rPr>
          <w:rFonts w:ascii="Cambria" w:hAnsi="Cambria" w:cstheme="minorHAnsi"/>
          <w:lang w:val="bg-BG"/>
        </w:rPr>
      </w:pPr>
    </w:p>
    <w:p w14:paraId="6E153812" w14:textId="77777777" w:rsidR="00B4114A" w:rsidRPr="00632915" w:rsidRDefault="00B4114A" w:rsidP="00B4114A">
      <w:pPr>
        <w:rPr>
          <w:rFonts w:ascii="Cambria" w:hAnsi="Cambria" w:cstheme="minorHAnsi"/>
          <w:lang w:val="bg-BG"/>
        </w:rPr>
      </w:pPr>
    </w:p>
    <w:p w14:paraId="3F14ED72" w14:textId="77777777" w:rsidR="00B4114A" w:rsidRPr="00632915" w:rsidRDefault="00B4114A" w:rsidP="00B4114A">
      <w:pPr>
        <w:suppressAutoHyphens w:val="0"/>
        <w:autoSpaceDN/>
        <w:spacing w:after="200" w:line="276" w:lineRule="auto"/>
        <w:rPr>
          <w:rFonts w:ascii="Cambria" w:hAnsi="Cambria" w:cstheme="minorHAnsi"/>
          <w:lang w:val="bg-BG"/>
        </w:rPr>
      </w:pPr>
    </w:p>
    <w:p w14:paraId="20E5FF44" w14:textId="77777777" w:rsidR="00B4114A" w:rsidRPr="00632915" w:rsidRDefault="00B4114A" w:rsidP="00B4114A">
      <w:pPr>
        <w:suppressAutoHyphens w:val="0"/>
        <w:autoSpaceDN/>
        <w:spacing w:after="200" w:line="276" w:lineRule="auto"/>
        <w:rPr>
          <w:rFonts w:ascii="Cambria" w:hAnsi="Cambria" w:cstheme="minorHAnsi"/>
          <w:lang w:val="bg-BG"/>
        </w:rPr>
      </w:pPr>
    </w:p>
    <w:p w14:paraId="327E86CE" w14:textId="77777777" w:rsidR="00B4114A" w:rsidRPr="00632915" w:rsidRDefault="00B4114A" w:rsidP="00B4114A">
      <w:pPr>
        <w:suppressAutoHyphens w:val="0"/>
        <w:autoSpaceDN/>
        <w:spacing w:after="200" w:line="276" w:lineRule="auto"/>
        <w:rPr>
          <w:rFonts w:ascii="Cambria" w:hAnsi="Cambria" w:cstheme="minorHAnsi"/>
          <w:lang w:val="bg-BG"/>
        </w:rPr>
      </w:pPr>
    </w:p>
    <w:p w14:paraId="3B066208" w14:textId="77777777" w:rsidR="00B4114A" w:rsidRPr="00632915" w:rsidRDefault="00B4114A" w:rsidP="00B4114A">
      <w:pPr>
        <w:suppressAutoHyphens w:val="0"/>
        <w:autoSpaceDN/>
        <w:spacing w:after="200" w:line="276" w:lineRule="auto"/>
        <w:rPr>
          <w:rFonts w:ascii="Cambria" w:hAnsi="Cambria" w:cstheme="minorHAnsi"/>
          <w:lang w:val="bg-BG"/>
        </w:rPr>
      </w:pPr>
    </w:p>
    <w:p w14:paraId="7EEB9489" w14:textId="77777777" w:rsidR="00B4114A" w:rsidRPr="00632915" w:rsidRDefault="00B4114A" w:rsidP="00B4114A">
      <w:pPr>
        <w:suppressAutoHyphens w:val="0"/>
        <w:autoSpaceDN/>
        <w:spacing w:after="200" w:line="276" w:lineRule="auto"/>
        <w:rPr>
          <w:rFonts w:ascii="Cambria" w:hAnsi="Cambria" w:cstheme="minorHAnsi"/>
          <w:lang w:val="bg-BG"/>
        </w:rPr>
      </w:pPr>
    </w:p>
    <w:p w14:paraId="2EAE3E7C" w14:textId="77777777" w:rsidR="00B4114A" w:rsidRPr="00632915" w:rsidRDefault="00B4114A" w:rsidP="00B4114A">
      <w:pPr>
        <w:suppressAutoHyphens w:val="0"/>
        <w:autoSpaceDN/>
        <w:spacing w:after="200" w:line="276" w:lineRule="auto"/>
        <w:rPr>
          <w:rFonts w:ascii="Cambria" w:hAnsi="Cambria" w:cstheme="minorHAnsi"/>
          <w:lang w:val="bg-BG"/>
        </w:rPr>
      </w:pPr>
    </w:p>
    <w:p w14:paraId="6D9FF87B" w14:textId="77777777" w:rsidR="00B4114A" w:rsidRPr="00632915" w:rsidRDefault="00B4114A" w:rsidP="00B4114A">
      <w:pPr>
        <w:suppressAutoHyphens w:val="0"/>
        <w:autoSpaceDN/>
        <w:spacing w:after="200" w:line="276" w:lineRule="auto"/>
        <w:rPr>
          <w:rFonts w:ascii="Cambria" w:hAnsi="Cambria" w:cstheme="minorHAnsi"/>
          <w:lang w:val="bg-BG"/>
        </w:rPr>
      </w:pPr>
    </w:p>
    <w:p w14:paraId="2D0C73EE" w14:textId="77777777" w:rsidR="00B4114A" w:rsidRPr="00632915" w:rsidRDefault="00B4114A" w:rsidP="00B4114A">
      <w:pPr>
        <w:rPr>
          <w:rFonts w:ascii="Cambria" w:hAnsi="Cambria" w:cstheme="minorHAnsi"/>
          <w:i/>
          <w:iCs/>
          <w:sz w:val="20"/>
          <w:szCs w:val="20"/>
          <w:lang w:val="bg-BG"/>
        </w:rPr>
        <w:sectPr w:rsidR="00B4114A" w:rsidRPr="00632915" w:rsidSect="00FF1FE6">
          <w:footerReference w:type="default" r:id="rId13"/>
          <w:footerReference w:type="first" r:id="rId14"/>
          <w:pgSz w:w="12240" w:h="15840"/>
          <w:pgMar w:top="1440" w:right="1440" w:bottom="1440" w:left="1440" w:header="720" w:footer="720" w:gutter="0"/>
          <w:cols w:space="720"/>
          <w:titlePg/>
          <w:docGrid w:linePitch="360"/>
        </w:sectPr>
      </w:pPr>
      <w:r w:rsidRPr="00632915">
        <w:rPr>
          <w:rFonts w:ascii="Cambria" w:hAnsi="Cambria" w:cstheme="minorHAnsi"/>
          <w:i/>
          <w:iCs/>
          <w:sz w:val="20"/>
          <w:szCs w:val="20"/>
          <w:highlight w:val="yellow"/>
          <w:lang w:val="bg-BG"/>
        </w:rPr>
        <w:t xml:space="preserve">* При попълване на контролните листа, моля изтрийте маркираните в сиво текстове </w:t>
      </w:r>
      <w:r w:rsidRPr="00632915">
        <w:rPr>
          <w:rFonts w:ascii="Cambria" w:hAnsi="Cambria" w:cstheme="minorHAnsi"/>
          <w:i/>
          <w:iCs/>
          <w:sz w:val="20"/>
          <w:szCs w:val="20"/>
          <w:highlight w:val="lightGray"/>
          <w:lang w:val="bg-BG"/>
        </w:rPr>
        <w:t>[…]</w:t>
      </w:r>
    </w:p>
    <w:p w14:paraId="51C84501" w14:textId="77777777" w:rsidR="00B4114A" w:rsidRPr="00632915" w:rsidRDefault="00B4114A" w:rsidP="00B4114A">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B4114A" w:rsidRPr="00632915" w14:paraId="6C07C683" w14:textId="77777777" w:rsidTr="00606230">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B0C2583"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B4114A" w:rsidRPr="00632915" w14:paraId="7E0D2F15"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578B13"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67F1891" w14:textId="77777777" w:rsidR="00B4114A" w:rsidRPr="00632915" w:rsidRDefault="00B4114A" w:rsidP="00606230">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DE4327" w14:textId="77777777" w:rsidR="00B4114A" w:rsidRPr="00632915" w:rsidRDefault="00B4114A" w:rsidP="00606230">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DC2F14A"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3AAF9C55"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2D1B38B3"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44066"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B767FE"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D3411"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643E"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45095FDC" w14:textId="77777777" w:rsidR="00B4114A" w:rsidRPr="00632915" w:rsidRDefault="00B4114A" w:rsidP="00606230">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3AF63C0"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4A9274A5"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се стигне ли до намаляване на поглътителите и депата на въглерод?</w:t>
            </w:r>
          </w:p>
          <w:p w14:paraId="6F91CB1C"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r w:rsidRPr="00632915">
              <w:rPr>
                <w:rFonts w:ascii="Cambria" w:hAnsi="Cambria" w:cstheme="minorHAnsi"/>
                <w:i/>
                <w:iCs/>
                <w:sz w:val="18"/>
                <w:szCs w:val="18"/>
                <w:highlight w:val="lightGray"/>
                <w:lang w:val="bg-BG"/>
              </w:rPr>
              <w:t>]</w:t>
            </w:r>
          </w:p>
          <w:p w14:paraId="4729E3F6" w14:textId="77777777" w:rsidR="00B4114A" w:rsidRPr="00632915" w:rsidRDefault="00B4114A" w:rsidP="00606230">
            <w:pPr>
              <w:spacing w:after="0"/>
              <w:jc w:val="both"/>
              <w:rPr>
                <w:rFonts w:ascii="Cambria" w:hAnsi="Cambria" w:cstheme="minorHAnsi"/>
                <w:sz w:val="20"/>
                <w:szCs w:val="20"/>
                <w:lang w:val="bg-BG"/>
              </w:rPr>
            </w:pPr>
          </w:p>
        </w:tc>
      </w:tr>
      <w:tr w:rsidR="00B4114A" w:rsidRPr="00632915" w14:paraId="2255DE2F"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85AE6D3" w14:textId="77777777" w:rsidR="00B4114A" w:rsidRPr="00632915" w:rsidRDefault="00B4114A" w:rsidP="00606230">
            <w:pPr>
              <w:spacing w:after="0"/>
              <w:jc w:val="both"/>
              <w:rPr>
                <w:rFonts w:ascii="Cambria" w:hAnsi="Cambria" w:cstheme="minorHAnsi"/>
                <w:i/>
                <w:iCs/>
                <w:sz w:val="18"/>
                <w:szCs w:val="18"/>
                <w:highlight w:val="yellow"/>
                <w:lang w:val="bg-BG"/>
              </w:rPr>
            </w:pPr>
          </w:p>
        </w:tc>
      </w:tr>
      <w:tr w:rsidR="00B4114A" w:rsidRPr="00632915" w14:paraId="5C3222A0" w14:textId="77777777" w:rsidTr="00606230">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3396706"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B4114A" w:rsidRPr="00632915" w14:paraId="6C323A6F"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A673EFA"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5E7B10C"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47FE3FE"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A3775"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50E2F1C"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4762CFF7"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8986D"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C8137"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5D8E0"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DBE33"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2FC6868A"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6E243811"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7E87DF81"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3D965777"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4BA656F5" w14:textId="77777777" w:rsidR="00B4114A" w:rsidRPr="00632915" w:rsidRDefault="00B4114A" w:rsidP="00606230">
            <w:pPr>
              <w:pStyle w:val="ListParagraph"/>
              <w:spacing w:after="0"/>
              <w:ind w:left="313"/>
              <w:jc w:val="both"/>
              <w:rPr>
                <w:rFonts w:ascii="Cambria" w:hAnsi="Cambria" w:cstheme="minorHAnsi"/>
                <w:sz w:val="20"/>
                <w:szCs w:val="20"/>
                <w:lang w:val="bg-BG"/>
              </w:rPr>
            </w:pPr>
          </w:p>
        </w:tc>
      </w:tr>
      <w:tr w:rsidR="00B4114A" w:rsidRPr="00632915" w14:paraId="5666A0D4"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D12434"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13A4B394" w14:textId="77777777" w:rsidTr="00606230">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A34B8DC"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B4114A" w:rsidRPr="00632915" w14:paraId="72C36085"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089FE92"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8F7FDA8"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AEEF9"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03E913D"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B568F46"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03D02C90"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AC454"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AA7A7"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E830A"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FA83"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08885261"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0CCFE18"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033CDB07"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50AB5C35"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8FD2DBA" w14:textId="77777777" w:rsidR="00B4114A" w:rsidRPr="00632915" w:rsidRDefault="00B4114A" w:rsidP="00606230">
            <w:pPr>
              <w:pStyle w:val="ListParagraph"/>
              <w:spacing w:after="0"/>
              <w:ind w:left="313"/>
              <w:jc w:val="both"/>
              <w:rPr>
                <w:rFonts w:ascii="Cambria" w:hAnsi="Cambria" w:cstheme="minorHAnsi"/>
                <w:sz w:val="20"/>
                <w:szCs w:val="20"/>
                <w:highlight w:val="lightGray"/>
                <w:lang w:val="bg-BG"/>
              </w:rPr>
            </w:pPr>
          </w:p>
        </w:tc>
      </w:tr>
      <w:tr w:rsidR="00B4114A" w:rsidRPr="00632915" w14:paraId="111FE229"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44A4AAE"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57813133" w14:textId="77777777" w:rsidTr="00606230">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F33F66B"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B4114A" w:rsidRPr="00632915" w14:paraId="5CCCDA0C"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2495290"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F11A68"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98ED52F"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9537E7"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28E6BDC"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4B031728"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5D367"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BF67A"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B7AEA"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73F9E"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21907DB9"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F33D635"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2AD8B57"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16C76B83"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7B74516F"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8650F27"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18032084" w14:textId="77777777" w:rsidR="00B4114A" w:rsidRPr="00632915" w:rsidRDefault="00B4114A" w:rsidP="00606230">
            <w:pPr>
              <w:pStyle w:val="ListParagraph"/>
              <w:spacing w:after="0"/>
              <w:ind w:left="313"/>
              <w:jc w:val="both"/>
              <w:rPr>
                <w:rFonts w:ascii="Cambria" w:hAnsi="Cambria" w:cstheme="minorHAnsi"/>
                <w:sz w:val="20"/>
                <w:szCs w:val="20"/>
                <w:highlight w:val="lightGray"/>
                <w:lang w:val="bg-BG"/>
              </w:rPr>
            </w:pPr>
          </w:p>
        </w:tc>
      </w:tr>
      <w:tr w:rsidR="00B4114A" w:rsidRPr="00632915" w14:paraId="15E9B87A"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09C4401"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18D70179" w14:textId="77777777" w:rsidTr="00606230">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4256D931"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4114A" w:rsidRPr="00632915" w14:paraId="44D4239B"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B603C2D"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05F14D30"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52ADED1"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8B2AA21"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358249"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0D006436"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6B92B"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6185"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BD5F4"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BB2AE"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09F28A2A"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8AB35A4"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1B3599E4"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725D73FA"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63727D9" w14:textId="77777777" w:rsidR="00B4114A" w:rsidRPr="00632915" w:rsidRDefault="00B4114A" w:rsidP="00606230">
            <w:pPr>
              <w:pStyle w:val="ListParagraph"/>
              <w:spacing w:after="0"/>
              <w:ind w:left="313"/>
              <w:jc w:val="both"/>
              <w:rPr>
                <w:rFonts w:ascii="Cambria" w:hAnsi="Cambria" w:cstheme="minorHAnsi"/>
                <w:sz w:val="20"/>
                <w:szCs w:val="20"/>
                <w:highlight w:val="lightGray"/>
                <w:lang w:val="bg-BG"/>
              </w:rPr>
            </w:pPr>
          </w:p>
        </w:tc>
      </w:tr>
      <w:tr w:rsidR="00B4114A" w:rsidRPr="00632915" w14:paraId="22B1CF97"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3111DD1"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23230C05" w14:textId="77777777" w:rsidTr="00606230">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A75A694" w14:textId="77777777" w:rsidR="00B4114A" w:rsidRPr="00632915" w:rsidRDefault="00B4114A" w:rsidP="00606230">
            <w:pPr>
              <w:pStyle w:val="ListParagraph"/>
              <w:numPr>
                <w:ilvl w:val="0"/>
                <w:numId w:val="3"/>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2E8443A0" w14:textId="77777777" w:rsidR="00B4114A" w:rsidRPr="00632915" w:rsidRDefault="00B4114A" w:rsidP="00606230">
            <w:pPr>
              <w:spacing w:after="0"/>
              <w:jc w:val="both"/>
              <w:rPr>
                <w:rFonts w:ascii="Cambria" w:hAnsi="Cambria" w:cstheme="minorHAnsi"/>
                <w:b/>
                <w:bCs/>
                <w:sz w:val="20"/>
                <w:szCs w:val="20"/>
                <w:lang w:val="bg-BG"/>
              </w:rPr>
            </w:pPr>
          </w:p>
        </w:tc>
      </w:tr>
      <w:tr w:rsidR="00B4114A" w:rsidRPr="00632915" w14:paraId="4303EA93"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290ECD1"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5CD9CEF6"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AE5A6AF"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r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384FF4"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56602F50"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B4114A" w:rsidRPr="00632915" w14:paraId="54C76ECB" w14:textId="77777777" w:rsidTr="0060623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AF36E"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97743"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116EF"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9C79B"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755B7E04"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1FE5145"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24809A9C"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74B824A4"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57629CD7"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7D27C848"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7A3B6CBC"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B4114A" w:rsidRPr="00632915" w14:paraId="4529B80F" w14:textId="77777777" w:rsidTr="00606230">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1F23D63" w14:textId="77777777" w:rsidR="00B4114A" w:rsidRPr="00632915" w:rsidRDefault="00B4114A" w:rsidP="00606230">
            <w:pPr>
              <w:spacing w:after="0"/>
              <w:jc w:val="both"/>
              <w:rPr>
                <w:rFonts w:ascii="Cambria" w:hAnsi="Cambria" w:cstheme="minorHAnsi"/>
                <w:i/>
                <w:iCs/>
                <w:sz w:val="18"/>
                <w:szCs w:val="18"/>
                <w:lang w:val="bg-BG"/>
              </w:rPr>
            </w:pPr>
          </w:p>
        </w:tc>
      </w:tr>
    </w:tbl>
    <w:p w14:paraId="6C870106" w14:textId="77777777" w:rsidR="00B4114A" w:rsidRPr="00632915" w:rsidRDefault="00B4114A" w:rsidP="00B4114A">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123F3167" w14:textId="77777777" w:rsidR="00B4114A" w:rsidRPr="00632915" w:rsidRDefault="00B4114A" w:rsidP="00B4114A">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 xml:space="preserve">Контролен лист 2: Последваща оценка на вредните въздействия на проекта върху околната среда </w:t>
      </w:r>
    </w:p>
    <w:p w14:paraId="1D56F764" w14:textId="77777777" w:rsidR="00B4114A" w:rsidRPr="00632915" w:rsidRDefault="00B4114A" w:rsidP="00B4114A">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B4114A" w:rsidRPr="00632915" w14:paraId="0CC76C8F" w14:textId="77777777" w:rsidTr="00606230">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C5D68EF" w14:textId="77777777" w:rsidR="00B4114A" w:rsidRPr="00632915" w:rsidRDefault="00B4114A" w:rsidP="00606230">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168F55BE"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13D9275A"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B4114A" w:rsidRPr="00632915" w14:paraId="59744F08"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9C5AA7"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E4E950E" w14:textId="77777777" w:rsidR="00B4114A" w:rsidRPr="00632915" w:rsidRDefault="00B4114A" w:rsidP="00606230">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7B91281" w14:textId="77777777" w:rsidR="00B4114A" w:rsidRPr="00632915" w:rsidRDefault="00B4114A" w:rsidP="00606230">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079F3A"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3D3154C9"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8D360"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1F22E"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47C31"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4774" w14:textId="77777777" w:rsidR="00B4114A" w:rsidRPr="00632915" w:rsidRDefault="00B4114A" w:rsidP="00606230">
            <w:pPr>
              <w:spacing w:after="0"/>
              <w:jc w:val="both"/>
              <w:rPr>
                <w:rFonts w:ascii="Cambria" w:hAnsi="Cambria" w:cstheme="minorHAnsi"/>
                <w:i/>
                <w:iCs/>
                <w:sz w:val="18"/>
                <w:szCs w:val="18"/>
                <w:highlight w:val="lightGray"/>
                <w:lang w:val="bg-BG"/>
              </w:rPr>
            </w:pPr>
          </w:p>
          <w:p w14:paraId="729B1D4E"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3C03651"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3FF09A5E"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0C5ED2EE"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се стигне ли до значително намаляване на поглътителите и депата на въглерод?</w:t>
            </w:r>
          </w:p>
          <w:p w14:paraId="2CCEB294"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0A5A180" w14:textId="77777777" w:rsidR="00B4114A" w:rsidRPr="00632915" w:rsidRDefault="00B4114A" w:rsidP="00606230">
            <w:pPr>
              <w:pStyle w:val="ListParagraph"/>
              <w:spacing w:after="0"/>
              <w:ind w:left="313"/>
              <w:jc w:val="both"/>
              <w:rPr>
                <w:rFonts w:ascii="Cambria" w:hAnsi="Cambria" w:cstheme="minorHAnsi"/>
                <w:sz w:val="20"/>
                <w:szCs w:val="20"/>
                <w:highlight w:val="lightGray"/>
                <w:lang w:val="bg-BG"/>
              </w:rPr>
            </w:pPr>
          </w:p>
        </w:tc>
      </w:tr>
      <w:tr w:rsidR="00B4114A" w:rsidRPr="00632915" w14:paraId="7DD47007" w14:textId="77777777" w:rsidTr="00606230">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88E8015"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5768EF2C" w14:textId="77777777" w:rsidTr="00606230">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9DACAE8" w14:textId="77777777" w:rsidR="00B4114A" w:rsidRPr="00632915" w:rsidRDefault="00B4114A" w:rsidP="00606230">
            <w:pPr>
              <w:pStyle w:val="ListParagraph"/>
              <w:numPr>
                <w:ilvl w:val="0"/>
                <w:numId w:val="4"/>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39A7049E"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B4114A" w:rsidRPr="00632915" w14:paraId="1A3344B1"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AC59A7"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F8405F"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CA5B25"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D178417"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5F04EA05"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F0814"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5AF92"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D58BE"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24FA7" w14:textId="77777777" w:rsidR="00B4114A" w:rsidRPr="00632915" w:rsidRDefault="00B4114A" w:rsidP="00606230">
            <w:pPr>
              <w:spacing w:after="0"/>
              <w:jc w:val="both"/>
              <w:rPr>
                <w:rFonts w:ascii="Cambria" w:hAnsi="Cambria" w:cstheme="minorHAnsi"/>
                <w:i/>
                <w:iCs/>
                <w:sz w:val="18"/>
                <w:szCs w:val="18"/>
                <w:lang w:val="bg-BG"/>
              </w:rPr>
            </w:pPr>
          </w:p>
          <w:p w14:paraId="0DE6C9AF"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69D3F68B"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03A626A4"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8250386" w14:textId="77777777" w:rsidR="00B4114A" w:rsidRPr="00632915" w:rsidRDefault="00B4114A" w:rsidP="00606230">
            <w:pPr>
              <w:pStyle w:val="ListParagraph"/>
              <w:spacing w:after="0"/>
              <w:ind w:left="313"/>
              <w:jc w:val="both"/>
              <w:rPr>
                <w:rFonts w:ascii="Cambria" w:hAnsi="Cambria" w:cstheme="minorHAnsi"/>
                <w:sz w:val="20"/>
                <w:szCs w:val="20"/>
                <w:lang w:val="bg-BG"/>
              </w:rPr>
            </w:pPr>
          </w:p>
        </w:tc>
      </w:tr>
      <w:tr w:rsidR="00B4114A" w:rsidRPr="00632915" w14:paraId="4622456D" w14:textId="77777777" w:rsidTr="00606230">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A92A073"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2614C58A" w14:textId="77777777" w:rsidTr="00606230">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BCE44C9" w14:textId="77777777" w:rsidR="00B4114A" w:rsidRPr="00632915" w:rsidRDefault="00B4114A" w:rsidP="00606230">
            <w:pPr>
              <w:pStyle w:val="ListParagraph"/>
              <w:numPr>
                <w:ilvl w:val="0"/>
                <w:numId w:val="4"/>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233192DC"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reference documents (BREFs))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3FDBD278"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F26298C"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5" w:history="1">
              <w:r w:rsidRPr="00632915">
                <w:rPr>
                  <w:rStyle w:val="Hyperlink"/>
                  <w:rFonts w:ascii="Cambria" w:hAnsi="Cambria" w:cstheme="minorHAnsi"/>
                  <w:sz w:val="18"/>
                  <w:szCs w:val="18"/>
                  <w:lang w:val="bg-BG"/>
                </w:rPr>
                <w:t>https://www.moew.government.bg/bg/vodi/</w:t>
              </w:r>
            </w:hyperlink>
          </w:p>
        </w:tc>
      </w:tr>
      <w:tr w:rsidR="00B4114A" w:rsidRPr="00632915" w14:paraId="3753764F"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5EB0558"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38BC04"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F919E06"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0682B58"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03FA4AB1"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E760A"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32E7B"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AFE25"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4CD00" w14:textId="77777777" w:rsidR="00B4114A" w:rsidRPr="00632915" w:rsidRDefault="00B4114A" w:rsidP="00606230">
            <w:pPr>
              <w:spacing w:after="0"/>
              <w:jc w:val="both"/>
              <w:rPr>
                <w:rFonts w:ascii="Cambria" w:hAnsi="Cambria" w:cstheme="minorHAnsi"/>
                <w:i/>
                <w:iCs/>
                <w:sz w:val="18"/>
                <w:szCs w:val="18"/>
                <w:lang w:val="bg-BG"/>
              </w:rPr>
            </w:pPr>
          </w:p>
          <w:p w14:paraId="2D7940B5"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FB43314"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5F183924"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3F5500BB"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3B09D9EE" w14:textId="77777777" w:rsidR="00B4114A" w:rsidRPr="00632915" w:rsidRDefault="00B4114A" w:rsidP="00606230">
            <w:pPr>
              <w:spacing w:after="0"/>
              <w:jc w:val="both"/>
              <w:rPr>
                <w:rFonts w:ascii="Cambria" w:hAnsi="Cambria" w:cstheme="minorHAnsi"/>
                <w:sz w:val="20"/>
                <w:szCs w:val="20"/>
                <w:lang w:val="bg-BG"/>
              </w:rPr>
            </w:pPr>
          </w:p>
        </w:tc>
      </w:tr>
      <w:tr w:rsidR="00B4114A" w:rsidRPr="00632915" w14:paraId="6B22DAA6" w14:textId="77777777" w:rsidTr="00606230">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1029DD"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007B9284" w14:textId="77777777" w:rsidTr="00606230">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32B0A91" w14:textId="77777777" w:rsidR="00B4114A" w:rsidRPr="00632915" w:rsidRDefault="00B4114A" w:rsidP="00606230">
            <w:pPr>
              <w:pStyle w:val="ListParagraph"/>
              <w:numPr>
                <w:ilvl w:val="0"/>
                <w:numId w:val="4"/>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Pr="00632915">
              <w:rPr>
                <w:rFonts w:ascii="Cambria" w:hAnsi="Cambria" w:cstheme="minorHAnsi"/>
                <w:i/>
                <w:iCs/>
                <w:lang w:val="bg-BG"/>
              </w:rPr>
              <w:t xml:space="preserve"> </w:t>
            </w:r>
          </w:p>
          <w:p w14:paraId="154124AF"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7F291667"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664D5C89"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40E3DBFF"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B4114A" w:rsidRPr="00632915" w14:paraId="29F6E84A"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FB0935E"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24694"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C2A8168"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5B348A6"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283655C5"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A2C83"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A57F5"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D3EF4"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4DC8D" w14:textId="77777777" w:rsidR="00B4114A" w:rsidRPr="00632915" w:rsidRDefault="00B4114A" w:rsidP="00606230">
            <w:pPr>
              <w:spacing w:after="0"/>
              <w:jc w:val="both"/>
              <w:rPr>
                <w:rFonts w:ascii="Cambria" w:hAnsi="Cambria" w:cstheme="minorHAnsi"/>
                <w:b/>
                <w:bCs/>
                <w:sz w:val="20"/>
                <w:szCs w:val="20"/>
                <w:lang w:val="bg-BG"/>
              </w:rPr>
            </w:pPr>
          </w:p>
          <w:p w14:paraId="520DD2C1" w14:textId="77777777" w:rsidR="00B4114A" w:rsidRPr="00632915" w:rsidRDefault="00B4114A" w:rsidP="00606230">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75B2587" w14:textId="77777777" w:rsidR="00B4114A" w:rsidRPr="00632915" w:rsidRDefault="00B4114A" w:rsidP="00606230">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EBBB010"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015E581E"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1B672595"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5F197ED3" w14:textId="77777777" w:rsidR="00B4114A" w:rsidRPr="00632915" w:rsidRDefault="00B4114A" w:rsidP="00606230">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702344BF"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14113EB0"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749E9D9B"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041141F1" w14:textId="77777777" w:rsidR="00B4114A" w:rsidRPr="00632915" w:rsidRDefault="00B4114A" w:rsidP="00606230">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251B6D21" w14:textId="77777777" w:rsidR="00B4114A" w:rsidRPr="00632915" w:rsidRDefault="00B4114A" w:rsidP="00606230">
            <w:pPr>
              <w:spacing w:after="0"/>
              <w:jc w:val="both"/>
              <w:rPr>
                <w:rFonts w:ascii="Cambria" w:hAnsi="Cambria" w:cstheme="minorHAnsi"/>
                <w:sz w:val="20"/>
                <w:szCs w:val="20"/>
                <w:lang w:val="bg-BG"/>
              </w:rPr>
            </w:pPr>
          </w:p>
        </w:tc>
      </w:tr>
      <w:tr w:rsidR="00B4114A" w:rsidRPr="00632915" w14:paraId="59DD174D" w14:textId="77777777" w:rsidTr="00606230">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78524AF"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79E841E6" w14:textId="77777777" w:rsidTr="00606230">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1D3DAFD" w14:textId="77777777" w:rsidR="00B4114A" w:rsidRPr="00632915" w:rsidRDefault="00B4114A" w:rsidP="00606230">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lastRenderedPageBreak/>
              <w:t>Предотвратяване и контрол на замърсяването</w:t>
            </w:r>
          </w:p>
          <w:p w14:paraId="0784D29D" w14:textId="77777777" w:rsidR="00B4114A" w:rsidRPr="00632915" w:rsidRDefault="00B4114A" w:rsidP="00606230">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0D907514"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16" w:history="1">
              <w:r w:rsidRPr="00632915">
                <w:rPr>
                  <w:rStyle w:val="Hyperlink"/>
                  <w:rFonts w:ascii="Cambria" w:hAnsi="Cambria" w:cstheme="minorHAnsi"/>
                  <w:i/>
                  <w:iCs/>
                  <w:sz w:val="18"/>
                  <w:szCs w:val="18"/>
                  <w:lang w:val="bg-BG"/>
                </w:rPr>
                <w:t>https://www.moew.government.bg/bg/ministerstvo/zakonodatelstvo/</w:t>
              </w:r>
            </w:hyperlink>
          </w:p>
        </w:tc>
      </w:tr>
      <w:tr w:rsidR="00B4114A" w:rsidRPr="00632915" w14:paraId="1F43196D"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E351940"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616A077"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16C482"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D7D6973"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1604A9CF"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32A5C"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CFB5E"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40702"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DCAF8" w14:textId="77777777" w:rsidR="00B4114A" w:rsidRPr="00632915" w:rsidRDefault="00B4114A" w:rsidP="00606230">
            <w:pPr>
              <w:spacing w:after="0"/>
              <w:jc w:val="both"/>
              <w:rPr>
                <w:rFonts w:ascii="Cambria" w:hAnsi="Cambria" w:cstheme="minorHAnsi"/>
                <w:i/>
                <w:iCs/>
                <w:sz w:val="18"/>
                <w:szCs w:val="18"/>
                <w:lang w:val="bg-BG"/>
              </w:rPr>
            </w:pPr>
          </w:p>
          <w:p w14:paraId="36A06496" w14:textId="77777777" w:rsidR="00B4114A" w:rsidRPr="00632915" w:rsidRDefault="00B4114A" w:rsidP="00606230">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23F95D3"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1C63967F"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3914D9F"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85B8B2D" w14:textId="77777777" w:rsidR="00B4114A" w:rsidRPr="00632915" w:rsidRDefault="00B4114A" w:rsidP="00606230">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AF722F4" w14:textId="77777777" w:rsidR="00B4114A" w:rsidRPr="00632915" w:rsidRDefault="00B4114A" w:rsidP="00606230">
            <w:pPr>
              <w:spacing w:after="0"/>
              <w:jc w:val="both"/>
              <w:rPr>
                <w:rFonts w:ascii="Cambria" w:hAnsi="Cambria" w:cstheme="minorHAnsi"/>
                <w:sz w:val="20"/>
                <w:szCs w:val="20"/>
                <w:lang w:val="bg-BG"/>
              </w:rPr>
            </w:pPr>
          </w:p>
        </w:tc>
      </w:tr>
      <w:tr w:rsidR="00B4114A" w:rsidRPr="00632915" w14:paraId="497B5F5F" w14:textId="77777777" w:rsidTr="00606230">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BF32265" w14:textId="77777777" w:rsidR="00B4114A" w:rsidRPr="00632915" w:rsidRDefault="00B4114A" w:rsidP="00606230">
            <w:pPr>
              <w:spacing w:after="0"/>
              <w:jc w:val="both"/>
              <w:rPr>
                <w:rFonts w:ascii="Cambria" w:hAnsi="Cambria" w:cstheme="minorHAnsi"/>
                <w:i/>
                <w:iCs/>
                <w:sz w:val="18"/>
                <w:szCs w:val="18"/>
                <w:lang w:val="bg-BG"/>
              </w:rPr>
            </w:pPr>
          </w:p>
        </w:tc>
      </w:tr>
      <w:tr w:rsidR="00B4114A" w:rsidRPr="00632915" w14:paraId="5875242F" w14:textId="77777777" w:rsidTr="00606230">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D06A1D2" w14:textId="77777777" w:rsidR="00B4114A" w:rsidRPr="00632915" w:rsidRDefault="00B4114A" w:rsidP="00606230">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227AB4C1" w14:textId="77777777" w:rsidR="00B4114A" w:rsidRPr="00632915" w:rsidRDefault="00B4114A" w:rsidP="00606230">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B4114A" w:rsidRPr="00632915" w14:paraId="7DB8DC19"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0F9F146"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FA9C7DF"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F658DC1" w14:textId="77777777" w:rsidR="00B4114A" w:rsidRPr="00632915" w:rsidRDefault="00B4114A" w:rsidP="00606230">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5FBF37E" w14:textId="77777777" w:rsidR="00B4114A" w:rsidRPr="00632915" w:rsidRDefault="00B4114A" w:rsidP="00606230">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B4114A" w:rsidRPr="00632915" w14:paraId="65F25671" w14:textId="77777777" w:rsidTr="00606230">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0952E" w14:textId="77777777" w:rsidR="00B4114A" w:rsidRPr="00632915" w:rsidRDefault="00B4114A" w:rsidP="00606230">
            <w:pPr>
              <w:spacing w:after="0"/>
              <w:rPr>
                <w:rFonts w:ascii="Cambria" w:hAnsi="Cambria" w:cstheme="minorHAnsi"/>
                <w:b/>
                <w:bCs/>
                <w:sz w:val="20"/>
                <w:szCs w:val="20"/>
                <w:lang w:val="bg-BG"/>
              </w:rPr>
            </w:pPr>
            <w:r w:rsidRPr="00632915">
              <w:rPr>
                <w:rFonts w:ascii="Cambria" w:hAnsi="Cambria" w:cstheme="minorHAnsi"/>
                <w:b/>
                <w:bCs/>
                <w:sz w:val="20"/>
                <w:szCs w:val="20"/>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7E758"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2E872" w14:textId="77777777" w:rsidR="00B4114A" w:rsidRPr="00632915" w:rsidRDefault="00B4114A" w:rsidP="00606230">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050C27">
              <w:rPr>
                <w:rFonts w:ascii="Cambria" w:hAnsi="Cambria" w:cstheme="minorHAnsi"/>
                <w:noProof/>
                <w:sz w:val="20"/>
                <w:szCs w:val="20"/>
                <w:lang w:val="bg-BG"/>
              </w:rPr>
            </w:r>
            <w:r w:rsidR="00050C27">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C3036" w14:textId="77777777" w:rsidR="00B4114A" w:rsidRPr="00632915" w:rsidRDefault="00B4114A" w:rsidP="00606230">
            <w:pPr>
              <w:spacing w:after="0"/>
              <w:jc w:val="both"/>
              <w:rPr>
                <w:rFonts w:ascii="Cambria" w:hAnsi="Cambria" w:cstheme="minorHAnsi"/>
                <w:sz w:val="20"/>
                <w:szCs w:val="20"/>
                <w:lang w:val="bg-BG"/>
              </w:rPr>
            </w:pPr>
          </w:p>
        </w:tc>
      </w:tr>
      <w:tr w:rsidR="00B4114A" w:rsidRPr="00632915" w14:paraId="7FF2A4CE" w14:textId="77777777" w:rsidTr="00606230">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CEB0A30" w14:textId="77777777" w:rsidR="00B4114A" w:rsidRPr="00632915" w:rsidRDefault="00B4114A" w:rsidP="00606230">
            <w:pPr>
              <w:spacing w:after="0"/>
              <w:jc w:val="both"/>
              <w:rPr>
                <w:rFonts w:ascii="Cambria" w:hAnsi="Cambria" w:cstheme="minorHAnsi"/>
                <w:i/>
                <w:iCs/>
                <w:sz w:val="18"/>
                <w:szCs w:val="18"/>
                <w:lang w:val="bg-BG"/>
              </w:rPr>
            </w:pPr>
          </w:p>
        </w:tc>
      </w:tr>
    </w:tbl>
    <w:p w14:paraId="1AA97D15" w14:textId="77777777" w:rsidR="00B4114A" w:rsidRPr="00632915" w:rsidRDefault="00B4114A" w:rsidP="00B4114A">
      <w:pPr>
        <w:rPr>
          <w:rFonts w:ascii="Cambria" w:hAnsi="Cambria" w:cstheme="minorHAnsi"/>
          <w:lang w:val="bg-BG"/>
        </w:rPr>
      </w:pPr>
    </w:p>
    <w:p w14:paraId="4AA52E90" w14:textId="77777777" w:rsidR="005E3028" w:rsidRDefault="005E3028"/>
    <w:sectPr w:rsidR="005E3028" w:rsidSect="00FF1FE6">
      <w:headerReference w:type="first" r:id="rId1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F0F8D" w14:textId="77777777" w:rsidR="00050C27" w:rsidRDefault="00050C27" w:rsidP="00B4114A">
      <w:pPr>
        <w:spacing w:after="0"/>
      </w:pPr>
      <w:r>
        <w:separator/>
      </w:r>
    </w:p>
  </w:endnote>
  <w:endnote w:type="continuationSeparator" w:id="0">
    <w:p w14:paraId="117352BC" w14:textId="77777777" w:rsidR="00050C27" w:rsidRDefault="00050C27" w:rsidP="00B411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1F815E10" w14:textId="666DF9FC" w:rsidR="00B4114A" w:rsidRDefault="00B4114A">
        <w:pPr>
          <w:pStyle w:val="Footer"/>
          <w:jc w:val="right"/>
        </w:pPr>
        <w:r>
          <w:fldChar w:fldCharType="begin"/>
        </w:r>
        <w:r>
          <w:instrText xml:space="preserve"> PAGE   \* MERGEFORMAT </w:instrText>
        </w:r>
        <w:r>
          <w:fldChar w:fldCharType="separate"/>
        </w:r>
        <w:r w:rsidR="00CB097F">
          <w:rPr>
            <w:noProof/>
          </w:rPr>
          <w:t>7</w:t>
        </w:r>
        <w:r>
          <w:rPr>
            <w:noProof/>
          </w:rPr>
          <w:fldChar w:fldCharType="end"/>
        </w:r>
      </w:p>
    </w:sdtContent>
  </w:sdt>
  <w:p w14:paraId="41025B50" w14:textId="77777777" w:rsidR="00B4114A" w:rsidRDefault="00B411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250138"/>
      <w:docPartObj>
        <w:docPartGallery w:val="Page Numbers (Bottom of Page)"/>
        <w:docPartUnique/>
      </w:docPartObj>
    </w:sdtPr>
    <w:sdtEndPr>
      <w:rPr>
        <w:noProof/>
      </w:rPr>
    </w:sdtEndPr>
    <w:sdtContent>
      <w:p w14:paraId="7FA1B17A" w14:textId="380862C0" w:rsidR="00B4114A" w:rsidRDefault="00B4114A">
        <w:pPr>
          <w:pStyle w:val="Footer"/>
          <w:jc w:val="right"/>
        </w:pPr>
        <w:r>
          <w:fldChar w:fldCharType="begin"/>
        </w:r>
        <w:r>
          <w:instrText xml:space="preserve"> PAGE   \* MERGEFORMAT </w:instrText>
        </w:r>
        <w:r>
          <w:fldChar w:fldCharType="separate"/>
        </w:r>
        <w:r w:rsidR="00CB097F">
          <w:rPr>
            <w:noProof/>
          </w:rPr>
          <w:t>2</w:t>
        </w:r>
        <w:r>
          <w:rPr>
            <w:noProof/>
          </w:rPr>
          <w:fldChar w:fldCharType="end"/>
        </w:r>
      </w:p>
    </w:sdtContent>
  </w:sdt>
  <w:p w14:paraId="79228B54" w14:textId="77777777" w:rsidR="00B4114A" w:rsidRDefault="00B411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DB8E4" w14:textId="77777777" w:rsidR="00050C27" w:rsidRDefault="00050C27" w:rsidP="00B4114A">
      <w:pPr>
        <w:spacing w:after="0"/>
      </w:pPr>
      <w:r>
        <w:separator/>
      </w:r>
    </w:p>
  </w:footnote>
  <w:footnote w:type="continuationSeparator" w:id="0">
    <w:p w14:paraId="5918C157" w14:textId="77777777" w:rsidR="00050C27" w:rsidRDefault="00050C27" w:rsidP="00B4114A">
      <w:pPr>
        <w:spacing w:after="0"/>
      </w:pPr>
      <w:r>
        <w:continuationSeparator/>
      </w:r>
    </w:p>
  </w:footnote>
  <w:footnote w:id="1">
    <w:p w14:paraId="2ED2AFDC" w14:textId="77777777" w:rsidR="00B4114A" w:rsidRPr="008C5EA0" w:rsidRDefault="00B4114A" w:rsidP="00B4114A">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63B14B82" w14:textId="77777777" w:rsidR="00B4114A" w:rsidRPr="008C5EA0" w:rsidRDefault="00B4114A" w:rsidP="00B4114A">
      <w:pPr>
        <w:spacing w:after="0"/>
        <w:jc w:val="both"/>
        <w:rPr>
          <w:b/>
          <w:bCs/>
        </w:rPr>
      </w:pPr>
      <w:r>
        <w:rPr>
          <w:rStyle w:val="FootnoteReference"/>
        </w:rPr>
        <w:footnoteRef/>
      </w:r>
      <w:r>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u w:val="single"/>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bg-BG"/>
        </w:rPr>
        <w:t xml:space="preserve">. </w:t>
      </w:r>
      <w:r w:rsidRPr="008C5EA0">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23AAAA19" w14:textId="77777777" w:rsidR="00B4114A" w:rsidRDefault="00B4114A" w:rsidP="00B4114A">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54C3BD3" w14:textId="77777777" w:rsidR="00B4114A" w:rsidRDefault="00B4114A" w:rsidP="00B4114A">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389FF714" w14:textId="77777777" w:rsidR="00B4114A" w:rsidRDefault="00B4114A" w:rsidP="00B4114A">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6BD6838B" w14:textId="77777777" w:rsidR="00B4114A" w:rsidRDefault="00B4114A" w:rsidP="00B4114A">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0868C" w14:textId="77777777" w:rsidR="00FF1FE6" w:rsidRDefault="00050C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14A"/>
    <w:rsid w:val="00050C27"/>
    <w:rsid w:val="00141D37"/>
    <w:rsid w:val="005E3028"/>
    <w:rsid w:val="00A16E5D"/>
    <w:rsid w:val="00B4114A"/>
    <w:rsid w:val="00C20C0E"/>
    <w:rsid w:val="00CB09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29A9"/>
  <w15:chartTrackingRefBased/>
  <w15:docId w15:val="{F7CD00D9-1752-4777-A4D1-3367FA43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14A"/>
    <w:pPr>
      <w:suppressAutoHyphens/>
      <w:autoSpaceDN w:val="0"/>
      <w:spacing w:line="240" w:lineRule="auto"/>
    </w:pPr>
    <w:rPr>
      <w:rFonts w:ascii="Calibri" w:eastAsia="Calibri" w:hAnsi="Calibri" w:cs="Times New Roman"/>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B4114A"/>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B4114A"/>
    <w:rPr>
      <w:rFonts w:ascii="Calibri" w:eastAsia="Calibri" w:hAnsi="Calibri" w:cs="Times New Roman"/>
      <w:sz w:val="20"/>
      <w:szCs w:val="20"/>
      <w:lang w:val="bg-BG" w:bidi="ar-SA"/>
    </w:rPr>
  </w:style>
  <w:style w:type="paragraph" w:styleId="ListParagraph">
    <w:name w:val="List Paragraph"/>
    <w:basedOn w:val="Normal"/>
    <w:rsid w:val="00B4114A"/>
    <w:pPr>
      <w:ind w:left="720"/>
    </w:pPr>
  </w:style>
  <w:style w:type="character" w:styleId="Hyperlink">
    <w:name w:val="Hyperlink"/>
    <w:basedOn w:val="DefaultParagraphFont"/>
    <w:rsid w:val="00B4114A"/>
    <w:rPr>
      <w:color w:val="0563C1"/>
      <w:u w:val="single"/>
    </w:rPr>
  </w:style>
  <w:style w:type="paragraph" w:styleId="Header">
    <w:name w:val="header"/>
    <w:basedOn w:val="Normal"/>
    <w:link w:val="HeaderChar"/>
    <w:uiPriority w:val="99"/>
    <w:unhideWhenUsed/>
    <w:rsid w:val="00B4114A"/>
    <w:pPr>
      <w:tabs>
        <w:tab w:val="center" w:pos="4680"/>
        <w:tab w:val="right" w:pos="9360"/>
      </w:tabs>
      <w:spacing w:after="0"/>
    </w:pPr>
  </w:style>
  <w:style w:type="character" w:customStyle="1" w:styleId="HeaderChar">
    <w:name w:val="Header Char"/>
    <w:basedOn w:val="DefaultParagraphFont"/>
    <w:link w:val="Header"/>
    <w:uiPriority w:val="99"/>
    <w:rsid w:val="00B4114A"/>
    <w:rPr>
      <w:rFonts w:ascii="Calibri" w:eastAsia="Calibri" w:hAnsi="Calibri" w:cs="Times New Roman"/>
      <w:lang w:val="en-GB" w:bidi="ar-SA"/>
    </w:rPr>
  </w:style>
  <w:style w:type="paragraph" w:styleId="Footer">
    <w:name w:val="footer"/>
    <w:basedOn w:val="Normal"/>
    <w:link w:val="FooterChar"/>
    <w:uiPriority w:val="99"/>
    <w:unhideWhenUsed/>
    <w:rsid w:val="00B4114A"/>
    <w:pPr>
      <w:tabs>
        <w:tab w:val="center" w:pos="4680"/>
        <w:tab w:val="right" w:pos="9360"/>
      </w:tabs>
      <w:spacing w:after="0"/>
    </w:pPr>
  </w:style>
  <w:style w:type="character" w:customStyle="1" w:styleId="FooterChar">
    <w:name w:val="Footer Char"/>
    <w:basedOn w:val="DefaultParagraphFont"/>
    <w:link w:val="Footer"/>
    <w:uiPriority w:val="99"/>
    <w:rsid w:val="00B4114A"/>
    <w:rPr>
      <w:rFonts w:ascii="Calibri" w:eastAsia="Calibri" w:hAnsi="Calibri" w:cs="Times New Roman"/>
      <w:lang w:val="en-GB" w:bidi="ar-SA"/>
    </w:rPr>
  </w:style>
  <w:style w:type="character" w:styleId="FootnoteReference">
    <w:name w:val="footnote reference"/>
    <w:basedOn w:val="DefaultParagraphFont"/>
    <w:uiPriority w:val="99"/>
    <w:semiHidden/>
    <w:unhideWhenUsed/>
    <w:rsid w:val="00B4114A"/>
    <w:rPr>
      <w:vertAlign w:val="superscript"/>
    </w:rPr>
  </w:style>
  <w:style w:type="table" w:styleId="TableGrid">
    <w:name w:val="Table Grid"/>
    <w:basedOn w:val="TableNormal"/>
    <w:uiPriority w:val="39"/>
    <w:rsid w:val="00B4114A"/>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eur-lex.europa.eu/legal-content/BG/TXT/?uri=celex:32020R085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oew.government.bg/bg/ministerstvo/zakonodatelstv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BG/TXT/?uri=CELEX%3A32021R0241" TargetMode="External"/><Relationship Id="rId5" Type="http://schemas.openxmlformats.org/officeDocument/2006/relationships/footnotes" Target="footnotes.xml"/><Relationship Id="rId15" Type="http://schemas.openxmlformats.org/officeDocument/2006/relationships/hyperlink" Target="https://www.moew.government.bg/bg/vodi/" TargetMode="External"/><Relationship Id="rId10" Type="http://schemas.openxmlformats.org/officeDocument/2006/relationships/hyperlink" Target="https://eur-lex.europa.eu/legal-content/BG/TXT/?uri=celex:32020R085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ur-lex.europa.eu/legal-content/BG/TXT/?uri=CELEX%3A32021R024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2204</Words>
  <Characters>12568</Characters>
  <Application>Microsoft Office Word</Application>
  <DocSecurity>0</DocSecurity>
  <Lines>104</Lines>
  <Paragraphs>29</Paragraphs>
  <ScaleCrop>false</ScaleCrop>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Koseva</cp:lastModifiedBy>
  <cp:revision>3</cp:revision>
  <dcterms:created xsi:type="dcterms:W3CDTF">2022-12-08T17:59:00Z</dcterms:created>
  <dcterms:modified xsi:type="dcterms:W3CDTF">2023-03-21T14:23:00Z</dcterms:modified>
</cp:coreProperties>
</file>