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69" w:rsidRPr="00043269" w:rsidRDefault="00043269" w:rsidP="00104060">
      <w:pPr>
        <w:jc w:val="both"/>
        <w:rPr>
          <w:rFonts w:cs="FiraSans-Medium"/>
          <w:color w:val="276AAF"/>
          <w:sz w:val="42"/>
          <w:szCs w:val="42"/>
        </w:rPr>
      </w:pPr>
      <w:r w:rsidRPr="00043269">
        <w:rPr>
          <w:rFonts w:cs="FiraSans-Medium"/>
          <w:color w:val="276AAF"/>
          <w:sz w:val="42"/>
          <w:szCs w:val="42"/>
        </w:rPr>
        <w:t xml:space="preserve">ИЗЯВЛЕНИЕ НА </w:t>
      </w:r>
      <w:r>
        <w:rPr>
          <w:rFonts w:cs="FiraSans-Medium"/>
          <w:color w:val="276AAF"/>
          <w:sz w:val="42"/>
          <w:szCs w:val="42"/>
          <w:lang w:val="en-US"/>
        </w:rPr>
        <w:t>ALLEA</w:t>
      </w:r>
      <w:r w:rsidRPr="00043269">
        <w:rPr>
          <w:rFonts w:cs="FiraSans-Medium"/>
          <w:color w:val="276AAF"/>
          <w:sz w:val="42"/>
          <w:szCs w:val="42"/>
        </w:rPr>
        <w:t xml:space="preserve"> </w:t>
      </w:r>
      <w:r w:rsidR="007831AA">
        <w:rPr>
          <w:rFonts w:cs="FiraSans-Medium"/>
          <w:color w:val="276AAF"/>
          <w:sz w:val="42"/>
          <w:szCs w:val="42"/>
        </w:rPr>
        <w:t>ОТНОСНО</w:t>
      </w:r>
      <w:r w:rsidRPr="00043269">
        <w:rPr>
          <w:rFonts w:cs="FiraSans-Medium"/>
          <w:color w:val="276AAF"/>
          <w:sz w:val="42"/>
          <w:szCs w:val="42"/>
        </w:rPr>
        <w:t xml:space="preserve"> ОГРАНИЧ</w:t>
      </w:r>
      <w:r w:rsidR="007831AA">
        <w:rPr>
          <w:rFonts w:cs="FiraSans-Medium"/>
          <w:color w:val="276AAF"/>
          <w:sz w:val="42"/>
          <w:szCs w:val="42"/>
        </w:rPr>
        <w:t>АВАНЕ НА ХИЩНИЧЕСКИТЕ ПРАКТИКИ ПРИ</w:t>
      </w:r>
      <w:r w:rsidRPr="00043269">
        <w:rPr>
          <w:rFonts w:cs="FiraSans-Medium"/>
          <w:color w:val="276AAF"/>
          <w:sz w:val="42"/>
          <w:szCs w:val="42"/>
        </w:rPr>
        <w:t xml:space="preserve"> НАУЧНОТО ПУБЛИКУВАНЕ СЪС СВОБОДЕН ДОСТЪП</w:t>
      </w:r>
    </w:p>
    <w:p w:rsidR="00043269" w:rsidRDefault="00043269" w:rsidP="00104060">
      <w:pPr>
        <w:spacing w:after="0"/>
        <w:jc w:val="both"/>
      </w:pPr>
      <w:r w:rsidRPr="00043269">
        <w:t>С настоящото Европейската федерация на академиите на науките и хуманитарните науки (ALLEA) дава своя принос към темата на Международната седмица на отворения достъп през 2023 г. "Общността над комерсиализацията", и по-специално към предизвикателството да се п</w:t>
      </w:r>
      <w:r w:rsidR="007F3E51">
        <w:t>ризнае "кои подходи към отворените</w:t>
      </w:r>
      <w:r w:rsidRPr="00043269">
        <w:t xml:space="preserve"> </w:t>
      </w:r>
      <w:r w:rsidR="007F3E51">
        <w:t>знания</w:t>
      </w:r>
      <w:r w:rsidRPr="00043269">
        <w:t xml:space="preserve"> дават приоритет на най-добрите интереси на обществеността и </w:t>
      </w:r>
      <w:r w:rsidR="007F3E51">
        <w:t xml:space="preserve">на </w:t>
      </w:r>
      <w:r w:rsidRPr="00043269">
        <w:t xml:space="preserve">академичната общност - и кои </w:t>
      </w:r>
      <w:r w:rsidRPr="007831AA">
        <w:t>не".</w:t>
      </w:r>
      <w:r w:rsidR="00BB343C" w:rsidRPr="007831AA">
        <w:rPr>
          <w:rStyle w:val="FootnoteReference"/>
        </w:rPr>
        <w:footnoteReference w:id="1"/>
      </w:r>
      <w:r w:rsidRPr="007831AA">
        <w:t xml:space="preserve"> </w:t>
      </w:r>
      <w:r w:rsidRPr="00043269">
        <w:t xml:space="preserve">С това изявление ALLEA цели да информира и съветва своите академии членки и по-широката изследователска общност как да противодействат на </w:t>
      </w:r>
      <w:bookmarkStart w:id="0" w:name="_GoBack"/>
      <w:bookmarkEnd w:id="0"/>
      <w:r w:rsidRPr="00043269">
        <w:t>разпространението на списания със свободен достъп, които имат неприемливи редакционни и издателски стандарти, така че да се избегн</w:t>
      </w:r>
      <w:r w:rsidR="00B27BAD">
        <w:t>ат</w:t>
      </w:r>
      <w:r w:rsidRPr="00043269">
        <w:t xml:space="preserve"> разхищението на средства за научни изследвания и ерозията на стандартите за почтеност на научните изследвания.</w:t>
      </w:r>
    </w:p>
    <w:p w:rsidR="00141F3E" w:rsidRDefault="00141F3E" w:rsidP="00104060">
      <w:pPr>
        <w:spacing w:after="0"/>
        <w:jc w:val="both"/>
      </w:pPr>
    </w:p>
    <w:p w:rsidR="00104060" w:rsidRDefault="007F3E51" w:rsidP="001040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Неочаквани развития</w:t>
      </w:r>
    </w:p>
    <w:p w:rsidR="007831AA" w:rsidRDefault="007831AA" w:rsidP="00104060">
      <w:pPr>
        <w:spacing w:after="0"/>
        <w:jc w:val="both"/>
        <w:rPr>
          <w:b/>
          <w:sz w:val="28"/>
          <w:szCs w:val="28"/>
        </w:rPr>
      </w:pPr>
    </w:p>
    <w:p w:rsidR="007F3E51" w:rsidRDefault="007F3E51" w:rsidP="00104060">
      <w:pPr>
        <w:spacing w:after="0"/>
        <w:jc w:val="both"/>
      </w:pPr>
      <w:r w:rsidRPr="007F3E51">
        <w:t xml:space="preserve">През последните 20 години публикуването със свободен достъп се превърна в глобална </w:t>
      </w:r>
      <w:r w:rsidRPr="007831AA">
        <w:t>индустрия</w:t>
      </w:r>
      <w:r w:rsidR="00BB343C" w:rsidRPr="007831AA">
        <w:rPr>
          <w:rStyle w:val="FootnoteReference"/>
        </w:rPr>
        <w:footnoteReference w:id="2"/>
      </w:r>
      <w:r w:rsidRPr="007831AA">
        <w:t xml:space="preserve">, която </w:t>
      </w:r>
      <w:r w:rsidRPr="007F3E51">
        <w:t>направи по-голямата част от научните публикации незабавно достъпни за изследователите, политиците и обществото като цяло. Макар че като цяло това се възприема като положителна стъпка, прилагането му води и до неочаквани отрицателни развития.</w:t>
      </w:r>
    </w:p>
    <w:p w:rsidR="007F3E51" w:rsidRPr="007831AA" w:rsidRDefault="007F3E51" w:rsidP="00104060">
      <w:pPr>
        <w:spacing w:after="0"/>
        <w:jc w:val="both"/>
        <w:rPr>
          <w:lang w:val="en-US"/>
        </w:rPr>
      </w:pPr>
      <w:r w:rsidRPr="007F3E51">
        <w:t xml:space="preserve">Например ALLEA многократно е изразявала загриженост, че все по-доминиращият "златен" модел на свободен достъп създава неравнопоставеност за изследователите от различни дисциплини, етапи на кариерата и географски местоположения, като заменя бариерата за </w:t>
      </w:r>
      <w:r w:rsidRPr="007831AA">
        <w:t xml:space="preserve">достъп с бариера за </w:t>
      </w:r>
      <w:r w:rsidR="00BB343C" w:rsidRPr="007831AA">
        <w:t>участие.</w:t>
      </w:r>
      <w:r w:rsidR="00BB343C" w:rsidRPr="007831AA">
        <w:rPr>
          <w:rStyle w:val="FootnoteReference"/>
        </w:rPr>
        <w:footnoteReference w:id="3"/>
      </w:r>
      <w:r w:rsidRPr="007831AA">
        <w:t xml:space="preserve"> Други непредвидени последици включват ограничаване автономията на изследователите по отношение на това къде да публикуват, нарастващ</w:t>
      </w:r>
      <w:r w:rsidR="00F767BA" w:rsidRPr="007831AA">
        <w:t>о</w:t>
      </w:r>
      <w:r w:rsidRPr="007831AA">
        <w:t xml:space="preserve"> </w:t>
      </w:r>
      <w:r w:rsidR="00F767BA" w:rsidRPr="007831AA">
        <w:t>реализиране на приходи от</w:t>
      </w:r>
      <w:r w:rsidRPr="007831AA">
        <w:t xml:space="preserve"> академичната научноизследователска предприемчивост и широкомащабна поява на списания, чиито редакционни и публикационни стандарти не съответстват на тези, поддържани от изследователската общност - така наречените "хищнически" списания.</w:t>
      </w:r>
      <w:r w:rsidR="00BB343C" w:rsidRPr="007831AA">
        <w:rPr>
          <w:rStyle w:val="FootnoteReference"/>
        </w:rPr>
        <w:footnoteReference w:id="4"/>
      </w:r>
      <w:r w:rsidR="00F97EC2" w:rsidRPr="007831AA">
        <w:t xml:space="preserve"> </w:t>
      </w:r>
      <w:r w:rsidR="00F97EC2" w:rsidRPr="007831AA">
        <w:rPr>
          <w:rStyle w:val="FootnoteReference"/>
        </w:rPr>
        <w:footnoteReference w:id="5"/>
      </w:r>
      <w:r w:rsidR="00F97EC2" w:rsidRPr="007831AA">
        <w:t xml:space="preserve"> </w:t>
      </w:r>
      <w:r w:rsidR="00F97EC2" w:rsidRPr="007831AA">
        <w:rPr>
          <w:rStyle w:val="FootnoteReference"/>
        </w:rPr>
        <w:footnoteReference w:id="6"/>
      </w:r>
    </w:p>
    <w:p w:rsidR="00141F3E" w:rsidRPr="007831AA" w:rsidRDefault="00141F3E" w:rsidP="00104060">
      <w:pPr>
        <w:spacing w:after="0"/>
        <w:jc w:val="both"/>
      </w:pPr>
    </w:p>
    <w:p w:rsidR="00F767BA" w:rsidRPr="007831AA" w:rsidRDefault="00F767BA" w:rsidP="00104060">
      <w:pPr>
        <w:spacing w:after="0"/>
        <w:jc w:val="both"/>
      </w:pPr>
      <w:r w:rsidRPr="007831AA">
        <w:t>Хищническите списания и техните издатели са "структури, които дават приоритет на личния си интерес за сметка на науката и се характеризират с невярна или подвеждаща информация, отклонение от най-добрите редакционни и издателски практики, липса на прозрачност и/или използване на агресивни и безразборни практики за привличане на читатели".</w:t>
      </w:r>
      <w:r w:rsidR="00432B56" w:rsidRPr="007831AA">
        <w:rPr>
          <w:rStyle w:val="FootnoteReference"/>
        </w:rPr>
        <w:footnoteReference w:id="7"/>
      </w:r>
      <w:r w:rsidRPr="007831AA">
        <w:t xml:space="preserve"> Това </w:t>
      </w:r>
      <w:r w:rsidRPr="00F767BA">
        <w:lastRenderedPageBreak/>
        <w:t xml:space="preserve">консенсусно определение се прилага широко за спектъра от измамни, заблуждаващи и нискокачествени издателства, които проявяват хищническо поведение и не се ограничават до списанията със свободен достъп, както показва неотдавнашно проучване на InterAcademy </w:t>
      </w:r>
      <w:r w:rsidRPr="007831AA">
        <w:t>Partnership (</w:t>
      </w:r>
      <w:r w:rsidR="00432B56" w:rsidRPr="007831AA">
        <w:t>IAP).</w:t>
      </w:r>
      <w:r w:rsidR="00432B56" w:rsidRPr="007831AA">
        <w:rPr>
          <w:rStyle w:val="FootnoteReference"/>
        </w:rPr>
        <w:footnoteReference w:id="8"/>
      </w:r>
      <w:r w:rsidRPr="007831AA">
        <w:t xml:space="preserve"> С нарастването на броя на хищническите списания и издатели хищническото поведение на тези структури става все по-усъвършенствано, като оказва влияние върху много изследователи, подкопава интегритета на научните изследвания, вкоренява се в общата култура на научните изследвания и води до загуба на финансови и човешки ресурси.</w:t>
      </w:r>
    </w:p>
    <w:p w:rsidR="00141F3E" w:rsidRPr="007831AA" w:rsidRDefault="00141F3E" w:rsidP="00104060">
      <w:pPr>
        <w:spacing w:after="0"/>
        <w:jc w:val="both"/>
      </w:pPr>
    </w:p>
    <w:p w:rsidR="00106703" w:rsidRPr="007831AA" w:rsidRDefault="00106703" w:rsidP="00104060">
      <w:pPr>
        <w:spacing w:after="0"/>
        <w:jc w:val="both"/>
      </w:pPr>
      <w:r w:rsidRPr="007831AA">
        <w:t xml:space="preserve">Много изследователи са подведени да публикуват в хищнически списания, защото просто не са наясно с разликата между фалшивите и качествените списания със свободен достъп. Изследователите в началото на кариерата си са изложени на особен риск, тъй като може да изпитват голям натиск да публикуват, но им липсва опит. Също така тези списания имат непропорционално </w:t>
      </w:r>
      <w:r w:rsidR="00730056" w:rsidRPr="007831AA">
        <w:t>големи отрицателни</w:t>
      </w:r>
      <w:r w:rsidRPr="007831AA">
        <w:t xml:space="preserve"> </w:t>
      </w:r>
      <w:r w:rsidR="00730056" w:rsidRPr="007831AA">
        <w:t>ефекти</w:t>
      </w:r>
      <w:r w:rsidRPr="007831AA">
        <w:t xml:space="preserve"> върху изследователите от страните с ниски и средни доходи, които може да не разполагат с ресурси за идентифициране на тези издания и/или търсят по-достъпни начини за публикуване. Други обаче съзнателно използват хищнически списания, за да развиват </w:t>
      </w:r>
      <w:r w:rsidR="00F4183B" w:rsidRPr="007831AA">
        <w:t>кариерата си.</w:t>
      </w:r>
      <w:r w:rsidR="00F4183B" w:rsidRPr="007831AA">
        <w:rPr>
          <w:vertAlign w:val="superscript"/>
        </w:rPr>
        <w:t>8</w:t>
      </w:r>
    </w:p>
    <w:p w:rsidR="00730056" w:rsidRPr="007831AA" w:rsidRDefault="00730056" w:rsidP="00104060">
      <w:pPr>
        <w:spacing w:after="0"/>
        <w:jc w:val="both"/>
      </w:pPr>
    </w:p>
    <w:p w:rsidR="00730056" w:rsidRDefault="00730056" w:rsidP="00104060">
      <w:pPr>
        <w:spacing w:after="0"/>
        <w:jc w:val="both"/>
        <w:rPr>
          <w:lang w:val="en-US"/>
        </w:rPr>
      </w:pPr>
      <w:r w:rsidRPr="007831AA">
        <w:t>Един от основните стълбове в мисията на ALLEA е да поддържа интегритета на научната работа. В този смисъл в актуализирания Европейски кодекс за почтеност на научните изследвания, който ALLEA публикува през 2023 г.</w:t>
      </w:r>
      <w:r w:rsidR="00F4183B" w:rsidRPr="007831AA">
        <w:rPr>
          <w:rStyle w:val="FootnoteReference"/>
        </w:rPr>
        <w:footnoteReference w:id="9"/>
      </w:r>
      <w:r w:rsidRPr="007831AA">
        <w:t xml:space="preserve">, се подчертава "Създаването, подкрепата или съзнателното </w:t>
      </w:r>
      <w:r w:rsidRPr="00730056">
        <w:t>използване на списания, издателства, събития или услуги, които подкопават качеството на научните изследвания ("хищнически" списания или к</w:t>
      </w:r>
      <w:r w:rsidR="00B27BAD">
        <w:t>онференции и фабрики за хартия)</w:t>
      </w:r>
      <w:r w:rsidRPr="00730056">
        <w:t>, са нарушения на нормите за интегритет на научните изследвания и се разглежд</w:t>
      </w:r>
      <w:r w:rsidR="00B27BAD">
        <w:t>ат като неправомерно поведение.</w:t>
      </w:r>
      <w:r w:rsidR="00B27BAD">
        <w:rPr>
          <w:lang w:val="en-US"/>
        </w:rPr>
        <w:t>”</w:t>
      </w:r>
    </w:p>
    <w:p w:rsidR="007831AA" w:rsidRPr="00B27BAD" w:rsidRDefault="007831AA" w:rsidP="00104060">
      <w:pPr>
        <w:spacing w:after="0"/>
        <w:jc w:val="both"/>
        <w:rPr>
          <w:lang w:val="en-US"/>
        </w:rPr>
      </w:pPr>
    </w:p>
    <w:p w:rsidR="00730056" w:rsidRPr="00730056" w:rsidRDefault="00730056" w:rsidP="00104060">
      <w:pPr>
        <w:spacing w:after="0"/>
        <w:jc w:val="both"/>
        <w:rPr>
          <w:i/>
        </w:rPr>
      </w:pPr>
      <w:r w:rsidRPr="00730056">
        <w:rPr>
          <w:rFonts w:ascii="Cambria Math" w:hAnsi="Cambria Math" w:cs="Cambria Math"/>
          <w:i/>
        </w:rPr>
        <w:t>⇨</w:t>
      </w:r>
      <w:r w:rsidRPr="00730056">
        <w:rPr>
          <w:i/>
        </w:rPr>
        <w:t xml:space="preserve"> </w:t>
      </w:r>
      <w:r w:rsidRPr="00730056">
        <w:rPr>
          <w:rFonts w:ascii="Calibri" w:hAnsi="Calibri" w:cs="Calibri"/>
          <w:i/>
        </w:rPr>
        <w:t>Носейки</w:t>
      </w:r>
      <w:r w:rsidRPr="00730056">
        <w:rPr>
          <w:i/>
        </w:rPr>
        <w:t xml:space="preserve"> </w:t>
      </w:r>
      <w:r w:rsidRPr="00730056">
        <w:rPr>
          <w:rFonts w:ascii="Calibri" w:hAnsi="Calibri" w:cs="Calibri"/>
          <w:i/>
        </w:rPr>
        <w:t>дългосрочна</w:t>
      </w:r>
      <w:r w:rsidRPr="00730056">
        <w:rPr>
          <w:i/>
        </w:rPr>
        <w:t xml:space="preserve"> </w:t>
      </w:r>
      <w:r w:rsidRPr="00730056">
        <w:rPr>
          <w:rFonts w:ascii="Calibri" w:hAnsi="Calibri" w:cs="Calibri"/>
          <w:i/>
        </w:rPr>
        <w:t>отговорност</w:t>
      </w:r>
      <w:r w:rsidRPr="00730056">
        <w:rPr>
          <w:i/>
        </w:rPr>
        <w:t xml:space="preserve"> </w:t>
      </w:r>
      <w:r w:rsidRPr="00730056">
        <w:rPr>
          <w:rFonts w:ascii="Calibri" w:hAnsi="Calibri" w:cs="Calibri"/>
          <w:i/>
        </w:rPr>
        <w:t>за</w:t>
      </w:r>
      <w:r w:rsidRPr="00730056">
        <w:rPr>
          <w:i/>
        </w:rPr>
        <w:t xml:space="preserve"> </w:t>
      </w:r>
      <w:r w:rsidRPr="00730056">
        <w:rPr>
          <w:rFonts w:ascii="Calibri" w:hAnsi="Calibri" w:cs="Calibri"/>
          <w:i/>
        </w:rPr>
        <w:t>поддържане</w:t>
      </w:r>
      <w:r w:rsidRPr="00730056">
        <w:rPr>
          <w:i/>
        </w:rPr>
        <w:t xml:space="preserve"> </w:t>
      </w:r>
      <w:r w:rsidRPr="00730056">
        <w:rPr>
          <w:rFonts w:ascii="Calibri" w:hAnsi="Calibri" w:cs="Calibri"/>
          <w:i/>
        </w:rPr>
        <w:t>на</w:t>
      </w:r>
      <w:r w:rsidRPr="00730056">
        <w:rPr>
          <w:i/>
        </w:rPr>
        <w:t xml:space="preserve"> </w:t>
      </w:r>
      <w:r w:rsidRPr="00730056">
        <w:rPr>
          <w:rFonts w:ascii="Calibri" w:hAnsi="Calibri" w:cs="Calibri"/>
          <w:i/>
        </w:rPr>
        <w:t>най</w:t>
      </w:r>
      <w:r w:rsidRPr="00730056">
        <w:rPr>
          <w:i/>
        </w:rPr>
        <w:t>-</w:t>
      </w:r>
      <w:r w:rsidRPr="00730056">
        <w:rPr>
          <w:rFonts w:ascii="Calibri" w:hAnsi="Calibri" w:cs="Calibri"/>
          <w:i/>
        </w:rPr>
        <w:t>високите</w:t>
      </w:r>
      <w:r w:rsidRPr="00730056">
        <w:rPr>
          <w:i/>
        </w:rPr>
        <w:t xml:space="preserve"> </w:t>
      </w:r>
      <w:r w:rsidRPr="00730056">
        <w:rPr>
          <w:rFonts w:ascii="Calibri" w:hAnsi="Calibri" w:cs="Calibri"/>
          <w:i/>
        </w:rPr>
        <w:t>стандарти</w:t>
      </w:r>
      <w:r w:rsidRPr="00730056">
        <w:rPr>
          <w:i/>
        </w:rPr>
        <w:t xml:space="preserve"> </w:t>
      </w:r>
      <w:r w:rsidRPr="00730056">
        <w:rPr>
          <w:rFonts w:ascii="Calibri" w:hAnsi="Calibri" w:cs="Calibri"/>
          <w:i/>
        </w:rPr>
        <w:t>за</w:t>
      </w:r>
      <w:r w:rsidRPr="00730056">
        <w:rPr>
          <w:i/>
        </w:rPr>
        <w:t xml:space="preserve"> </w:t>
      </w:r>
      <w:r w:rsidRPr="00730056">
        <w:rPr>
          <w:rFonts w:ascii="Calibri" w:hAnsi="Calibri" w:cs="Calibri"/>
          <w:i/>
        </w:rPr>
        <w:t>интегритет</w:t>
      </w:r>
      <w:r w:rsidRPr="00730056">
        <w:rPr>
          <w:i/>
        </w:rPr>
        <w:t xml:space="preserve"> </w:t>
      </w:r>
      <w:r w:rsidRPr="00730056">
        <w:rPr>
          <w:rFonts w:ascii="Calibri" w:hAnsi="Calibri" w:cs="Calibri"/>
          <w:i/>
        </w:rPr>
        <w:t>на</w:t>
      </w:r>
      <w:r w:rsidRPr="00730056">
        <w:rPr>
          <w:i/>
        </w:rPr>
        <w:t xml:space="preserve"> </w:t>
      </w:r>
      <w:r w:rsidRPr="00730056">
        <w:rPr>
          <w:rFonts w:ascii="Calibri" w:hAnsi="Calibri" w:cs="Calibri"/>
          <w:i/>
        </w:rPr>
        <w:t>научните</w:t>
      </w:r>
      <w:r w:rsidRPr="00730056">
        <w:rPr>
          <w:i/>
        </w:rPr>
        <w:t xml:space="preserve"> </w:t>
      </w:r>
      <w:r w:rsidRPr="00730056">
        <w:rPr>
          <w:rFonts w:ascii="Calibri" w:hAnsi="Calibri" w:cs="Calibri"/>
          <w:i/>
        </w:rPr>
        <w:t>изследвания</w:t>
      </w:r>
      <w:r w:rsidRPr="00730056">
        <w:rPr>
          <w:i/>
        </w:rPr>
        <w:t xml:space="preserve">, </w:t>
      </w:r>
      <w:r w:rsidRPr="00730056">
        <w:rPr>
          <w:rFonts w:ascii="Calibri" w:hAnsi="Calibri" w:cs="Calibri"/>
          <w:i/>
        </w:rPr>
        <w:t>от</w:t>
      </w:r>
      <w:r w:rsidRPr="00730056">
        <w:rPr>
          <w:i/>
        </w:rPr>
        <w:t xml:space="preserve"> </w:t>
      </w:r>
      <w:r w:rsidRPr="00730056">
        <w:rPr>
          <w:rFonts w:ascii="Calibri" w:hAnsi="Calibri" w:cs="Calibri"/>
          <w:i/>
        </w:rPr>
        <w:t>академиите</w:t>
      </w:r>
      <w:r w:rsidRPr="00730056">
        <w:rPr>
          <w:i/>
        </w:rPr>
        <w:t xml:space="preserve"> </w:t>
      </w:r>
      <w:r w:rsidRPr="00730056">
        <w:rPr>
          <w:rFonts w:ascii="Calibri" w:hAnsi="Calibri" w:cs="Calibri"/>
          <w:i/>
        </w:rPr>
        <w:t>членки</w:t>
      </w:r>
      <w:r w:rsidRPr="00730056">
        <w:rPr>
          <w:i/>
        </w:rPr>
        <w:t xml:space="preserve"> </w:t>
      </w:r>
      <w:r w:rsidRPr="00730056">
        <w:rPr>
          <w:rFonts w:ascii="Calibri" w:hAnsi="Calibri" w:cs="Calibri"/>
          <w:i/>
        </w:rPr>
        <w:t>на</w:t>
      </w:r>
      <w:r w:rsidRPr="00730056">
        <w:rPr>
          <w:i/>
        </w:rPr>
        <w:t xml:space="preserve"> ALLEA </w:t>
      </w:r>
      <w:r w:rsidRPr="00730056">
        <w:rPr>
          <w:rFonts w:ascii="Calibri" w:hAnsi="Calibri" w:cs="Calibri"/>
          <w:i/>
        </w:rPr>
        <w:t>се</w:t>
      </w:r>
      <w:r w:rsidRPr="00730056">
        <w:rPr>
          <w:i/>
        </w:rPr>
        <w:t xml:space="preserve"> </w:t>
      </w:r>
      <w:r w:rsidRPr="00730056">
        <w:rPr>
          <w:rFonts w:ascii="Calibri" w:hAnsi="Calibri" w:cs="Calibri"/>
          <w:i/>
        </w:rPr>
        <w:t>очаква</w:t>
      </w:r>
      <w:r w:rsidRPr="00730056">
        <w:rPr>
          <w:i/>
        </w:rPr>
        <w:t xml:space="preserve"> </w:t>
      </w:r>
      <w:r w:rsidRPr="00730056">
        <w:rPr>
          <w:rFonts w:ascii="Calibri" w:hAnsi="Calibri" w:cs="Calibri"/>
          <w:i/>
        </w:rPr>
        <w:t>да</w:t>
      </w:r>
      <w:r w:rsidRPr="00730056">
        <w:rPr>
          <w:i/>
        </w:rPr>
        <w:t xml:space="preserve"> </w:t>
      </w:r>
      <w:r w:rsidRPr="00730056">
        <w:rPr>
          <w:rFonts w:ascii="Calibri" w:hAnsi="Calibri" w:cs="Calibri"/>
          <w:i/>
        </w:rPr>
        <w:t>игр</w:t>
      </w:r>
      <w:r w:rsidRPr="00730056">
        <w:rPr>
          <w:i/>
        </w:rPr>
        <w:t>аят водеща роля в насърчаването на публикуването в издания, чиито редакционни и издателски стандарти са счетени за подходящи от по-голямата научна общност. По същия начин академиите, членуващи в ALLEA, следва да повишават осведомеността относно сложните проблеми на хищническите практики, да предупреждават и да демотивират използването на хищнически списания и конференции.</w:t>
      </w:r>
    </w:p>
    <w:p w:rsidR="00730056" w:rsidRPr="00104060" w:rsidRDefault="00730056" w:rsidP="00104060">
      <w:pPr>
        <w:spacing w:after="0"/>
        <w:jc w:val="both"/>
        <w:rPr>
          <w:i/>
        </w:rPr>
      </w:pPr>
    </w:p>
    <w:p w:rsidR="003166A5" w:rsidRDefault="003166A5" w:rsidP="00104060">
      <w:pPr>
        <w:spacing w:after="0"/>
        <w:jc w:val="both"/>
        <w:rPr>
          <w:b/>
          <w:sz w:val="28"/>
          <w:szCs w:val="28"/>
        </w:rPr>
      </w:pPr>
      <w:r w:rsidRPr="003166A5">
        <w:rPr>
          <w:b/>
          <w:sz w:val="28"/>
          <w:szCs w:val="28"/>
        </w:rPr>
        <w:t>Идентифициране и популяризиране на качествени списания със свободен достъп</w:t>
      </w:r>
    </w:p>
    <w:p w:rsidR="007831AA" w:rsidRPr="00104060" w:rsidRDefault="007831AA" w:rsidP="00104060">
      <w:pPr>
        <w:spacing w:after="0"/>
        <w:jc w:val="both"/>
        <w:rPr>
          <w:b/>
          <w:sz w:val="28"/>
          <w:szCs w:val="28"/>
        </w:rPr>
      </w:pPr>
    </w:p>
    <w:p w:rsidR="00276431" w:rsidRDefault="00276431" w:rsidP="00104060">
      <w:pPr>
        <w:spacing w:after="0"/>
        <w:jc w:val="both"/>
      </w:pPr>
      <w:r w:rsidRPr="00276431">
        <w:t xml:space="preserve">Понастоящем не съществува централизирана глобална или европейска система за удостоверяване автентичността на академичните издателства и списания, която да удостоверява, че те отговарят на основните изисквания за професионализъм и финансова прозрачност. Въпреки това се полагат значителни усилия за осигуряване на ресурси, които позволяват на изследователите и институциите да </w:t>
      </w:r>
      <w:r>
        <w:t>проучват</w:t>
      </w:r>
      <w:r w:rsidRPr="00276431">
        <w:t xml:space="preserve"> качеството на издателските услуги. Някои конкретни препоръки за изследователите могат да бъдат намерени по-долу:</w:t>
      </w:r>
    </w:p>
    <w:p w:rsidR="00276431" w:rsidRPr="007831AA" w:rsidRDefault="00276431" w:rsidP="00104060">
      <w:pPr>
        <w:spacing w:after="0"/>
        <w:jc w:val="both"/>
      </w:pPr>
      <w:r>
        <w:lastRenderedPageBreak/>
        <w:t xml:space="preserve">» </w:t>
      </w:r>
      <w:r w:rsidRPr="00276431">
        <w:t xml:space="preserve">Търсенето в базите данни, изброени в Directory of Open Access Journals (DOAJ) (упълномощена от световната научна общност) и Web of Science (WoS), може да бъде отправна точка за намиране на списания със свободен достъп, които следват добри редакционни практики. Освен това </w:t>
      </w:r>
      <w:r w:rsidRPr="007831AA">
        <w:t xml:space="preserve">Cabells предоставя абонаментна услуга, включваща база данни за измамни и хищнически </w:t>
      </w:r>
      <w:r w:rsidR="000B61BD" w:rsidRPr="007831AA">
        <w:t>списания.</w:t>
      </w:r>
      <w:r w:rsidR="000B61BD" w:rsidRPr="007831AA">
        <w:rPr>
          <w:rStyle w:val="FootnoteReference"/>
        </w:rPr>
        <w:footnoteReference w:id="10"/>
      </w:r>
    </w:p>
    <w:p w:rsidR="00276431" w:rsidRPr="007831AA" w:rsidRDefault="00276431" w:rsidP="00104060">
      <w:pPr>
        <w:spacing w:after="0"/>
        <w:jc w:val="both"/>
      </w:pPr>
      <w:r w:rsidRPr="007831AA">
        <w:t xml:space="preserve">» Съществуват и няколко национални и институционални ресурса, които редовно оценяват и категоризират научни списания и издатели въз основа на техните редакционни и публикационни </w:t>
      </w:r>
      <w:r w:rsidR="00555B6B" w:rsidRPr="007831AA">
        <w:t>стандарти.</w:t>
      </w:r>
      <w:r w:rsidR="00555B6B" w:rsidRPr="007831AA">
        <w:rPr>
          <w:rStyle w:val="FootnoteReference"/>
        </w:rPr>
        <w:footnoteReference w:id="11"/>
      </w:r>
      <w:r w:rsidRPr="007831AA">
        <w:t xml:space="preserve"> Те често могат да бъдат достъпни и за външни изследователи и биха могли да бъдат разширени и приети за регионално или европейско използване.</w:t>
      </w:r>
    </w:p>
    <w:p w:rsidR="00276431" w:rsidRPr="007831AA" w:rsidRDefault="00276431" w:rsidP="00104060">
      <w:pPr>
        <w:spacing w:after="0"/>
        <w:jc w:val="both"/>
      </w:pPr>
      <w:r w:rsidRPr="007831AA">
        <w:t xml:space="preserve">» Инициативата "Think-Check-Submit" </w:t>
      </w:r>
      <w:r w:rsidRPr="007831AA">
        <w:rPr>
          <w:lang w:val="en-US"/>
        </w:rPr>
        <w:t>(</w:t>
      </w:r>
      <w:r w:rsidRPr="007831AA">
        <w:t>Мисли-Провери-Изпрати</w:t>
      </w:r>
      <w:r w:rsidRPr="007831AA">
        <w:rPr>
          <w:lang w:val="en-US"/>
        </w:rPr>
        <w:t>)</w:t>
      </w:r>
      <w:r w:rsidRPr="007831AA">
        <w:t xml:space="preserve"> предоставя инструменти, които помагат на изследователите да определят надеждни списания, в които да публикуват своите изследвания. Услугата за сравняване на списания от cOAlition S предоставя платформа, която подобрява прозрачността на цените за изследователи, библиотеки и финансиращи организации. </w:t>
      </w:r>
    </w:p>
    <w:p w:rsidR="00276431" w:rsidRPr="007831AA" w:rsidRDefault="00276431" w:rsidP="00104060">
      <w:pPr>
        <w:spacing w:after="0"/>
        <w:jc w:val="both"/>
      </w:pPr>
      <w:r w:rsidRPr="007831AA">
        <w:t>» Повечето академични библиотеки могат да консултират изследователите; те се насърчават да следват основаните на доказателства характеристики на потенциалните хищнически списания</w:t>
      </w:r>
      <w:r w:rsidR="00D2568B" w:rsidRPr="007831AA">
        <w:rPr>
          <w:rStyle w:val="FootnoteReference"/>
        </w:rPr>
        <w:footnoteReference w:id="12"/>
      </w:r>
      <w:r w:rsidRPr="007831AA">
        <w:t xml:space="preserve"> и препоръчаните от </w:t>
      </w:r>
      <w:r w:rsidR="00227D95" w:rsidRPr="007831AA">
        <w:t>InterAcademy Partnership</w:t>
      </w:r>
      <w:r w:rsidR="00227D95" w:rsidRPr="007831AA">
        <w:rPr>
          <w:lang w:val="en-US"/>
        </w:rPr>
        <w:t xml:space="preserve"> (</w:t>
      </w:r>
      <w:r w:rsidRPr="007831AA">
        <w:t>IAP</w:t>
      </w:r>
      <w:r w:rsidR="00227D95" w:rsidRPr="007831AA">
        <w:rPr>
          <w:lang w:val="en-US"/>
        </w:rPr>
        <w:t>)</w:t>
      </w:r>
      <w:r w:rsidRPr="007831AA">
        <w:t xml:space="preserve"> маркери за измамни, заблуждаващи или неприемливи </w:t>
      </w:r>
      <w:r w:rsidR="00D2568B" w:rsidRPr="007831AA">
        <w:t>списания.</w:t>
      </w:r>
      <w:r w:rsidR="00D2568B" w:rsidRPr="007831AA">
        <w:rPr>
          <w:vertAlign w:val="superscript"/>
        </w:rPr>
        <w:t>8</w:t>
      </w:r>
    </w:p>
    <w:p w:rsidR="00227D95" w:rsidRDefault="00227D95" w:rsidP="00104060">
      <w:pPr>
        <w:spacing w:after="0"/>
        <w:jc w:val="both"/>
      </w:pPr>
      <w:r w:rsidRPr="007831AA">
        <w:t xml:space="preserve">» По принцип на авторите се препоръчва да запазят пълен контрол върху всеки публикуван труд, като запазят правата си върху интелектуалната </w:t>
      </w:r>
      <w:r w:rsidR="00D2568B" w:rsidRPr="007831AA">
        <w:t>собственост.</w:t>
      </w:r>
      <w:r w:rsidR="00D2568B" w:rsidRPr="007831AA">
        <w:rPr>
          <w:rStyle w:val="FootnoteReference"/>
        </w:rPr>
        <w:footnoteReference w:id="13"/>
      </w:r>
      <w:r w:rsidRPr="007831AA">
        <w:t xml:space="preserve"> По този начин авторите винаги ще могат да депозират копие от приетия от автора ръкопис (Author Accepted Manuscript - AAM) в хранилище по свой избор и това </w:t>
      </w:r>
      <w:r w:rsidR="00B27BAD" w:rsidRPr="007831AA">
        <w:t>ще им</w:t>
      </w:r>
      <w:r w:rsidRPr="007831AA">
        <w:t xml:space="preserve"> позволява да използват повторно фигури и таблици от публикацията в последващи презентации или други трудове, без да се налага да искат </w:t>
      </w:r>
      <w:r w:rsidRPr="00227D95">
        <w:t xml:space="preserve">разрешение от издателя. </w:t>
      </w:r>
    </w:p>
    <w:p w:rsidR="007831AA" w:rsidRDefault="007831AA" w:rsidP="00104060">
      <w:pPr>
        <w:spacing w:after="0"/>
        <w:jc w:val="both"/>
      </w:pPr>
    </w:p>
    <w:p w:rsidR="00227D95" w:rsidRPr="00227D95" w:rsidRDefault="00227D95" w:rsidP="00104060">
      <w:pPr>
        <w:spacing w:after="0"/>
        <w:jc w:val="both"/>
        <w:rPr>
          <w:i/>
        </w:rPr>
      </w:pPr>
      <w:r w:rsidRPr="00227D95">
        <w:rPr>
          <w:rFonts w:ascii="Cambria Math" w:hAnsi="Cambria Math" w:cs="Cambria Math"/>
          <w:i/>
        </w:rPr>
        <w:t>⇨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Академиите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се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призовават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да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въведат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и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насърчават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използването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на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наличните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ресурси</w:t>
      </w:r>
      <w:r w:rsidRPr="00227D95">
        <w:rPr>
          <w:i/>
        </w:rPr>
        <w:t xml:space="preserve">, </w:t>
      </w:r>
      <w:r w:rsidRPr="00227D95">
        <w:rPr>
          <w:rFonts w:ascii="Calibri" w:hAnsi="Calibri" w:cs="Calibri"/>
          <w:i/>
        </w:rPr>
        <w:t>инструменти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и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услуги</w:t>
      </w:r>
      <w:r w:rsidRPr="00227D95">
        <w:rPr>
          <w:i/>
        </w:rPr>
        <w:t xml:space="preserve">, </w:t>
      </w:r>
      <w:r w:rsidRPr="00227D95">
        <w:rPr>
          <w:rFonts w:ascii="Calibri" w:hAnsi="Calibri" w:cs="Calibri"/>
          <w:i/>
        </w:rPr>
        <w:t>които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да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насочват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изследователите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при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избора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на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качествени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списания</w:t>
      </w:r>
      <w:r w:rsidRPr="00227D95">
        <w:rPr>
          <w:i/>
        </w:rPr>
        <w:t xml:space="preserve">, </w:t>
      </w:r>
      <w:r w:rsidRPr="00227D95">
        <w:rPr>
          <w:rFonts w:ascii="Calibri" w:hAnsi="Calibri" w:cs="Calibri"/>
          <w:i/>
        </w:rPr>
        <w:t>в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които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да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публикуват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работата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си</w:t>
      </w:r>
      <w:r w:rsidRPr="00227D95">
        <w:rPr>
          <w:i/>
        </w:rPr>
        <w:t xml:space="preserve">. </w:t>
      </w:r>
      <w:r w:rsidRPr="00227D95">
        <w:rPr>
          <w:rFonts w:ascii="Calibri" w:hAnsi="Calibri" w:cs="Calibri"/>
          <w:i/>
        </w:rPr>
        <w:t>Освен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това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от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тях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се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изисква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да</w:t>
      </w:r>
      <w:r w:rsidRPr="00227D95">
        <w:rPr>
          <w:i/>
        </w:rPr>
        <w:t xml:space="preserve"> </w:t>
      </w:r>
      <w:r w:rsidRPr="00227D95">
        <w:rPr>
          <w:rFonts w:ascii="Calibri" w:hAnsi="Calibri" w:cs="Calibri"/>
          <w:i/>
        </w:rPr>
        <w:t>пре</w:t>
      </w:r>
      <w:r w:rsidRPr="00227D95">
        <w:rPr>
          <w:i/>
        </w:rPr>
        <w:t>поръчат на организациите за финансиране на научни изследвания, на научноизследователските и други висши училища да спрат да използват средства за заплащане на такси за обработка на статии (article processing charges - APC</w:t>
      </w:r>
      <w:r w:rsidRPr="00227D95">
        <w:rPr>
          <w:i/>
          <w:lang w:val="en-US"/>
        </w:rPr>
        <w:t>s</w:t>
      </w:r>
      <w:r w:rsidRPr="00227D95">
        <w:rPr>
          <w:i/>
        </w:rPr>
        <w:t>) на списания със свободен достъп, които прилагат хищнически практики.</w:t>
      </w:r>
    </w:p>
    <w:p w:rsidR="00227D95" w:rsidRPr="00104060" w:rsidRDefault="00227D95" w:rsidP="00104060">
      <w:pPr>
        <w:spacing w:after="0"/>
        <w:jc w:val="both"/>
        <w:rPr>
          <w:i/>
        </w:rPr>
      </w:pPr>
    </w:p>
    <w:p w:rsidR="00DC1BF0" w:rsidRDefault="00DC1BF0" w:rsidP="00104060">
      <w:pPr>
        <w:spacing w:after="0"/>
        <w:jc w:val="both"/>
        <w:rPr>
          <w:b/>
          <w:sz w:val="28"/>
          <w:szCs w:val="28"/>
        </w:rPr>
      </w:pPr>
      <w:r w:rsidRPr="00DC1BF0">
        <w:rPr>
          <w:b/>
          <w:sz w:val="28"/>
          <w:szCs w:val="28"/>
        </w:rPr>
        <w:t>Реформиране на културата на оценяване на научните изследвания</w:t>
      </w:r>
    </w:p>
    <w:p w:rsidR="007831AA" w:rsidRPr="00104060" w:rsidRDefault="007831AA" w:rsidP="00104060">
      <w:pPr>
        <w:spacing w:after="0"/>
        <w:jc w:val="both"/>
        <w:rPr>
          <w:b/>
          <w:sz w:val="28"/>
          <w:szCs w:val="28"/>
        </w:rPr>
      </w:pPr>
    </w:p>
    <w:p w:rsidR="00DC1BF0" w:rsidRDefault="00DC1BF0" w:rsidP="00DC1BF0">
      <w:pPr>
        <w:spacing w:after="0"/>
        <w:jc w:val="both"/>
      </w:pPr>
      <w:r w:rsidRPr="00DC1BF0">
        <w:t xml:space="preserve">Един от най-важните фактори, които определят публикационното поведение, е начинът, по който изследователите се оценяват при вземането на решения за финансиране, наемане и </w:t>
      </w:r>
      <w:r w:rsidR="00B27BAD">
        <w:t>кариерно израстване</w:t>
      </w:r>
      <w:r w:rsidRPr="00DC1BF0">
        <w:t xml:space="preserve">. Преобладаването на количествените показатели в настоящите системи за </w:t>
      </w:r>
      <w:r w:rsidRPr="007831AA">
        <w:t xml:space="preserve">оценяване е един от основните стимули за изследователите да приемат съкращения и да публикуват в хищнически </w:t>
      </w:r>
      <w:r w:rsidR="00555B6B" w:rsidRPr="007831AA">
        <w:t>списания.</w:t>
      </w:r>
      <w:r w:rsidR="00555B6B" w:rsidRPr="007831AA">
        <w:rPr>
          <w:vertAlign w:val="superscript"/>
        </w:rPr>
        <w:t>8</w:t>
      </w:r>
      <w:r w:rsidR="00555B6B" w:rsidRPr="007831AA">
        <w:t xml:space="preserve"> </w:t>
      </w:r>
      <w:r w:rsidRPr="007831AA">
        <w:t xml:space="preserve">Още през 2012 г. подписалите Декларацията от Сан Франциско за оценяване на научните изследвания (Declaration on Research Assessment - DORA) </w:t>
      </w:r>
      <w:r w:rsidRPr="007831AA">
        <w:lastRenderedPageBreak/>
        <w:t xml:space="preserve">препоръчаха да се съсредоточим върху съдържанието на публикациите на изследователите </w:t>
      </w:r>
      <w:r w:rsidRPr="00DC1BF0">
        <w:t xml:space="preserve">вместо да разчитаме на </w:t>
      </w:r>
      <w:r w:rsidR="004231BE">
        <w:t>метриките на</w:t>
      </w:r>
      <w:r w:rsidRPr="00DC1BF0">
        <w:t xml:space="preserve"> списания за </w:t>
      </w:r>
      <w:r w:rsidR="004231BE">
        <w:t>оценяване</w:t>
      </w:r>
      <w:r w:rsidRPr="00DC1BF0">
        <w:t xml:space="preserve"> качеството на научните статии и отделните изследователи. Принципите от Хонконг за оценяване на изследователите също предоставят изрични насоки за това как да се признава и възнаграждава поведение, което укрепва интегритета на научните изследвания. През 2022 г. с помощта на ЕС беше създадена Коалицията за </w:t>
      </w:r>
      <w:r>
        <w:t>развиване</w:t>
      </w:r>
      <w:r w:rsidRPr="00DC1BF0">
        <w:t xml:space="preserve"> оценяването на научните изследвания (</w:t>
      </w:r>
      <w:r>
        <w:t xml:space="preserve">Coalition for Advancing Research Assessment  - </w:t>
      </w:r>
      <w:r w:rsidRPr="00DC1BF0">
        <w:t>CoARA).</w:t>
      </w:r>
    </w:p>
    <w:p w:rsidR="00DC1BF0" w:rsidRDefault="00DC1BF0" w:rsidP="00104060">
      <w:pPr>
        <w:spacing w:after="0"/>
        <w:jc w:val="both"/>
      </w:pPr>
    </w:p>
    <w:p w:rsidR="00DC1BF0" w:rsidRDefault="00DC1BF0" w:rsidP="00104060">
      <w:pPr>
        <w:spacing w:after="0"/>
        <w:jc w:val="both"/>
      </w:pPr>
      <w:r w:rsidRPr="007831AA">
        <w:t xml:space="preserve">Към днешна дата повече от 500 европейски организации, включително ALLEA и много от членуващите в нея </w:t>
      </w:r>
      <w:r w:rsidR="00D2568B" w:rsidRPr="007831AA">
        <w:t>академии</w:t>
      </w:r>
      <w:r w:rsidR="00D2568B" w:rsidRPr="007831AA">
        <w:rPr>
          <w:rStyle w:val="FootnoteReference"/>
        </w:rPr>
        <w:footnoteReference w:id="14"/>
      </w:r>
      <w:r w:rsidRPr="007831AA">
        <w:t xml:space="preserve">, са се присъединили към </w:t>
      </w:r>
      <w:r w:rsidR="00732CD0" w:rsidRPr="007831AA">
        <w:t xml:space="preserve">Коалицията за развиване оценяването на научните изследвания </w:t>
      </w:r>
      <w:r w:rsidR="004231BE" w:rsidRPr="007831AA">
        <w:t>в подкрепа на времева</w:t>
      </w:r>
      <w:r w:rsidRPr="007831AA">
        <w:t xml:space="preserve"> рамка за реформи, които признават разнообразните резултати, практики и дейности, </w:t>
      </w:r>
      <w:r w:rsidR="004231BE" w:rsidRPr="007831AA">
        <w:t>увеличаващи</w:t>
      </w:r>
      <w:r w:rsidRPr="007831AA">
        <w:t xml:space="preserve"> качеството и въздействието на научните </w:t>
      </w:r>
      <w:r w:rsidR="00BA46EC" w:rsidRPr="007831AA">
        <w:t>изследвания.</w:t>
      </w:r>
      <w:r w:rsidR="00BA46EC" w:rsidRPr="007831AA">
        <w:rPr>
          <w:rStyle w:val="FootnoteReference"/>
        </w:rPr>
        <w:footnoteReference w:id="15"/>
      </w:r>
      <w:r w:rsidRPr="007831AA">
        <w:t xml:space="preserve"> Реформирането на практиките за оценка на научните изследвания изисква не само нови разпоредби, насоки и политики от страна на институциите. Членовете на </w:t>
      </w:r>
      <w:r w:rsidRPr="00DC1BF0">
        <w:t xml:space="preserve">изследователската общност, които преглеждат ръкописи, оценяват предложения за безвъзмездни средства, заседават в комисиите за </w:t>
      </w:r>
      <w:r w:rsidR="004231BE">
        <w:t>повишения</w:t>
      </w:r>
      <w:r w:rsidRPr="00DC1BF0">
        <w:t xml:space="preserve"> и участват в</w:t>
      </w:r>
      <w:r w:rsidR="00732CD0">
        <w:t xml:space="preserve"> избора на членове на академиите</w:t>
      </w:r>
      <w:r w:rsidRPr="00DC1BF0">
        <w:t xml:space="preserve"> също трябва да се ангажират с промяна на културата на научните изследвания. Лицата, които поемат такива роли, трябва да подкрепят най-добрите практики за о</w:t>
      </w:r>
      <w:r w:rsidR="00732CD0">
        <w:t>ценяване</w:t>
      </w:r>
      <w:r w:rsidRPr="00DC1BF0">
        <w:t>, които катализират прогресивната промяна в тяхната институционална и изследователска среда.</w:t>
      </w:r>
    </w:p>
    <w:p w:rsidR="007831AA" w:rsidRDefault="007831AA" w:rsidP="00104060">
      <w:pPr>
        <w:spacing w:after="0"/>
        <w:jc w:val="both"/>
        <w:rPr>
          <w:rFonts w:ascii="Cambria Math" w:hAnsi="Cambria Math" w:cs="Cambria Math"/>
          <w:i/>
        </w:rPr>
      </w:pPr>
    </w:p>
    <w:p w:rsidR="00732CD0" w:rsidRDefault="00732CD0" w:rsidP="00104060">
      <w:pPr>
        <w:spacing w:after="0"/>
        <w:jc w:val="both"/>
        <w:rPr>
          <w:i/>
        </w:rPr>
      </w:pPr>
      <w:r w:rsidRPr="00732CD0">
        <w:rPr>
          <w:rFonts w:ascii="Cambria Math" w:hAnsi="Cambria Math" w:cs="Cambria Math"/>
          <w:i/>
        </w:rPr>
        <w:t>⇨</w:t>
      </w:r>
      <w:r w:rsidRPr="00732CD0">
        <w:rPr>
          <w:i/>
        </w:rPr>
        <w:t xml:space="preserve"> Академиите се насърчават да прилагат и да се застъпват за реформи </w:t>
      </w:r>
      <w:r>
        <w:rPr>
          <w:i/>
        </w:rPr>
        <w:t>на практиките за оценяване</w:t>
      </w:r>
      <w:r w:rsidRPr="00732CD0">
        <w:rPr>
          <w:i/>
        </w:rPr>
        <w:t xml:space="preserve"> на научните изследвания </w:t>
      </w:r>
      <w:r w:rsidR="00BB343C" w:rsidRPr="00732CD0">
        <w:rPr>
          <w:i/>
        </w:rPr>
        <w:t>в цялата</w:t>
      </w:r>
      <w:r w:rsidR="00BB343C">
        <w:rPr>
          <w:i/>
        </w:rPr>
        <w:t xml:space="preserve"> общност </w:t>
      </w:r>
      <w:r w:rsidRPr="00732CD0">
        <w:rPr>
          <w:i/>
        </w:rPr>
        <w:t xml:space="preserve">в съответствие с Декларацията за оценяване на научните изследвания и Коалицията за развиване оценяването на научните изследвания. Те следва да дават пример и да установяват работни диалози с финансиращите </w:t>
      </w:r>
      <w:r>
        <w:rPr>
          <w:i/>
        </w:rPr>
        <w:t>органи</w:t>
      </w:r>
      <w:r w:rsidRPr="00732CD0">
        <w:rPr>
          <w:i/>
        </w:rPr>
        <w:t>, правителствените организации и университетите за разработване на съгласувани и безпристрастни национални политики, които да признават и възнаграждават качествените практики в издателската дейност и да ограничават хищническите практики.</w:t>
      </w:r>
    </w:p>
    <w:p w:rsidR="00732CD0" w:rsidRPr="00104060" w:rsidRDefault="00732CD0" w:rsidP="00104060">
      <w:pPr>
        <w:spacing w:after="0"/>
        <w:jc w:val="both"/>
        <w:rPr>
          <w:i/>
        </w:rPr>
      </w:pPr>
    </w:p>
    <w:p w:rsidR="00971839" w:rsidRDefault="00971839" w:rsidP="00104060">
      <w:pPr>
        <w:spacing w:after="0"/>
        <w:jc w:val="both"/>
        <w:rPr>
          <w:b/>
          <w:sz w:val="28"/>
          <w:szCs w:val="28"/>
        </w:rPr>
      </w:pPr>
      <w:r w:rsidRPr="00971839">
        <w:rPr>
          <w:b/>
          <w:sz w:val="28"/>
          <w:szCs w:val="28"/>
        </w:rPr>
        <w:t xml:space="preserve">Към нестопански модели на публикуване </w:t>
      </w:r>
    </w:p>
    <w:p w:rsidR="007831AA" w:rsidRPr="00971839" w:rsidRDefault="007831AA" w:rsidP="00104060">
      <w:pPr>
        <w:spacing w:after="0"/>
        <w:jc w:val="both"/>
        <w:rPr>
          <w:b/>
          <w:sz w:val="28"/>
          <w:szCs w:val="28"/>
        </w:rPr>
      </w:pPr>
    </w:p>
    <w:p w:rsidR="00326E4D" w:rsidRDefault="00A4354A" w:rsidP="00104060">
      <w:pPr>
        <w:spacing w:after="0"/>
        <w:jc w:val="both"/>
        <w:rPr>
          <w:lang w:val="en-US"/>
        </w:rPr>
      </w:pPr>
      <w:r w:rsidRPr="007831AA">
        <w:t>Нарастващо</w:t>
      </w:r>
      <w:r w:rsidR="00197801" w:rsidRPr="007831AA">
        <w:t>т</w:t>
      </w:r>
      <w:r w:rsidRPr="007831AA">
        <w:t>о</w:t>
      </w:r>
      <w:r w:rsidR="00971839" w:rsidRPr="007831AA">
        <w:t xml:space="preserve"> монетиз</w:t>
      </w:r>
      <w:r w:rsidR="00197801" w:rsidRPr="007831AA">
        <w:t>иране</w:t>
      </w:r>
      <w:r w:rsidR="00971839" w:rsidRPr="007831AA">
        <w:t xml:space="preserve"> и комерсиализация</w:t>
      </w:r>
      <w:r w:rsidR="00971839" w:rsidRPr="007831AA">
        <w:rPr>
          <w:vertAlign w:val="superscript"/>
        </w:rPr>
        <w:t>5,</w:t>
      </w:r>
      <w:r w:rsidR="00BA46EC" w:rsidRPr="007831AA">
        <w:rPr>
          <w:rStyle w:val="FootnoteReference"/>
        </w:rPr>
        <w:footnoteReference w:id="16"/>
      </w:r>
      <w:r w:rsidR="00971839" w:rsidRPr="007831AA">
        <w:t xml:space="preserve"> </w:t>
      </w:r>
      <w:r w:rsidR="00197801" w:rsidRPr="007831AA">
        <w:t>на научното издаване</w:t>
      </w:r>
      <w:r w:rsidR="00971839" w:rsidRPr="007831AA">
        <w:t xml:space="preserve"> е друг основен фактор за хищнически практики. То допринася за създаването на система за академично публикуване, чиито търговски интереси могат да противоречат на стандартите за почтеност на научните изследвания, и на модел "автор</w:t>
      </w:r>
      <w:r w:rsidRPr="007831AA">
        <w:t>ът</w:t>
      </w:r>
      <w:r w:rsidR="00971839" w:rsidRPr="007831AA">
        <w:t xml:space="preserve"> заплаща", който е особено </w:t>
      </w:r>
      <w:r w:rsidRPr="007831AA">
        <w:t>изложен на опасността да бъде използван от хищни</w:t>
      </w:r>
      <w:r w:rsidR="00971839" w:rsidRPr="007831AA">
        <w:t xml:space="preserve"> участници. Алтернативите на настоящата система включват некомерсиални списания, базирани </w:t>
      </w:r>
      <w:r w:rsidRPr="007831AA">
        <w:t>на такси за обработка на статии</w:t>
      </w:r>
      <w:r w:rsidR="00971839" w:rsidRPr="007831AA">
        <w:t xml:space="preserve">, и некомерсиални модели за публикуване на материали със свободен достъп без </w:t>
      </w:r>
      <w:r w:rsidRPr="007831AA">
        <w:t xml:space="preserve">такси за обработка на статии </w:t>
      </w:r>
      <w:r w:rsidR="00971839" w:rsidRPr="007831AA">
        <w:t xml:space="preserve">(т.е. </w:t>
      </w:r>
      <w:r w:rsidR="00326E4D" w:rsidRPr="007831AA">
        <w:t>Зелен и Диамантен отворен достъп</w:t>
      </w:r>
      <w:r w:rsidR="00971839" w:rsidRPr="007831AA">
        <w:t>), които печелят подкрепа в научната общност</w:t>
      </w:r>
      <w:r w:rsidR="00BA46EC" w:rsidRPr="007831AA">
        <w:rPr>
          <w:rStyle w:val="FootnoteReference"/>
        </w:rPr>
        <w:footnoteReference w:id="17"/>
      </w:r>
      <w:r w:rsidR="00971839" w:rsidRPr="007831AA">
        <w:t>.</w:t>
      </w:r>
      <w:r w:rsidR="00326E4D" w:rsidRPr="007831AA">
        <w:t xml:space="preserve"> Неотдавнашните Заключения на Съвета на Европейския съюз имат за цел да засилят още повече ангажимента за отворена, </w:t>
      </w:r>
      <w:r w:rsidR="00326E4D" w:rsidRPr="007831AA">
        <w:lastRenderedPageBreak/>
        <w:t>справедлива и устойчива система за научно публикуване.</w:t>
      </w:r>
      <w:r w:rsidR="007831AA" w:rsidRPr="007831AA">
        <w:rPr>
          <w:rStyle w:val="FootnoteReference"/>
        </w:rPr>
        <w:footnoteReference w:id="18"/>
      </w:r>
      <w:r w:rsidR="00326E4D" w:rsidRPr="007831AA">
        <w:t xml:space="preserve"> </w:t>
      </w:r>
      <w:proofErr w:type="spellStart"/>
      <w:r w:rsidR="00326E4D" w:rsidRPr="007831AA">
        <w:rPr>
          <w:lang w:val="en-US"/>
        </w:rPr>
        <w:t>Съветът</w:t>
      </w:r>
      <w:proofErr w:type="spellEnd"/>
      <w:r w:rsidR="00326E4D" w:rsidRPr="007831AA">
        <w:rPr>
          <w:lang w:val="en-US"/>
        </w:rPr>
        <w:t xml:space="preserve"> </w:t>
      </w:r>
      <w:proofErr w:type="spellStart"/>
      <w:r w:rsidR="00326E4D" w:rsidRPr="007831AA">
        <w:rPr>
          <w:lang w:val="en-US"/>
        </w:rPr>
        <w:t>подчертава</w:t>
      </w:r>
      <w:proofErr w:type="spellEnd"/>
      <w:r w:rsidR="00326E4D" w:rsidRPr="007831AA">
        <w:rPr>
          <w:lang w:val="en-US"/>
        </w:rPr>
        <w:t xml:space="preserve">, </w:t>
      </w:r>
      <w:proofErr w:type="spellStart"/>
      <w:r w:rsidR="00326E4D" w:rsidRPr="007831AA">
        <w:rPr>
          <w:lang w:val="en-US"/>
        </w:rPr>
        <w:t>че</w:t>
      </w:r>
      <w:proofErr w:type="spellEnd"/>
      <w:r w:rsidR="00326E4D" w:rsidRPr="007831AA">
        <w:rPr>
          <w:lang w:val="en-US"/>
        </w:rPr>
        <w:t xml:space="preserve"> </w:t>
      </w:r>
      <w:proofErr w:type="spellStart"/>
      <w:r w:rsidR="00326E4D" w:rsidRPr="007831AA">
        <w:rPr>
          <w:lang w:val="en-US"/>
        </w:rPr>
        <w:t>незабавният</w:t>
      </w:r>
      <w:proofErr w:type="spellEnd"/>
      <w:r w:rsidR="00326E4D" w:rsidRPr="007831AA">
        <w:rPr>
          <w:lang w:val="en-US"/>
        </w:rPr>
        <w:t xml:space="preserve"> </w:t>
      </w:r>
      <w:r w:rsidR="00326E4D" w:rsidRPr="00326E4D">
        <w:rPr>
          <w:lang w:val="en-US"/>
        </w:rPr>
        <w:t xml:space="preserve">и </w:t>
      </w:r>
      <w:proofErr w:type="spellStart"/>
      <w:r w:rsidR="00326E4D" w:rsidRPr="00326E4D">
        <w:rPr>
          <w:lang w:val="en-US"/>
        </w:rPr>
        <w:t>неограничен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свободен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достъп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без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разходи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за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отделните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автори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или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читатели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следва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да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бъде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норма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при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публикуването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на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научни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изследвания</w:t>
      </w:r>
      <w:proofErr w:type="spellEnd"/>
      <w:r w:rsidR="00326E4D" w:rsidRPr="00326E4D">
        <w:rPr>
          <w:lang w:val="en-US"/>
        </w:rPr>
        <w:t xml:space="preserve"> с </w:t>
      </w:r>
      <w:r w:rsidR="00326E4D">
        <w:t>държавни</w:t>
      </w:r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средства</w:t>
      </w:r>
      <w:proofErr w:type="spellEnd"/>
      <w:r w:rsidR="00326E4D" w:rsidRPr="00326E4D">
        <w:rPr>
          <w:lang w:val="en-US"/>
        </w:rPr>
        <w:t xml:space="preserve">. </w:t>
      </w:r>
      <w:proofErr w:type="spellStart"/>
      <w:r w:rsidR="00326E4D" w:rsidRPr="00326E4D">
        <w:rPr>
          <w:lang w:val="en-US"/>
        </w:rPr>
        <w:t>Освен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това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Съветът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насърчава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държавите-членки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на</w:t>
      </w:r>
      <w:proofErr w:type="spellEnd"/>
      <w:r w:rsidR="00326E4D" w:rsidRPr="00326E4D">
        <w:rPr>
          <w:lang w:val="en-US"/>
        </w:rPr>
        <w:t xml:space="preserve"> ЕС и </w:t>
      </w:r>
      <w:proofErr w:type="spellStart"/>
      <w:r w:rsidR="00326E4D" w:rsidRPr="00326E4D">
        <w:rPr>
          <w:lang w:val="en-US"/>
        </w:rPr>
        <w:t>Комисията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да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увеличат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подкрепата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си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за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разработването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на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политики</w:t>
      </w:r>
      <w:proofErr w:type="spellEnd"/>
      <w:r w:rsidR="00326E4D" w:rsidRPr="00326E4D">
        <w:rPr>
          <w:lang w:val="en-US"/>
        </w:rPr>
        <w:t xml:space="preserve"> и </w:t>
      </w:r>
      <w:proofErr w:type="spellStart"/>
      <w:r w:rsidR="00326E4D" w:rsidRPr="00326E4D">
        <w:rPr>
          <w:lang w:val="en-US"/>
        </w:rPr>
        <w:t>стратегии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относно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нестопанските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модели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на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многоформатно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научно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издаване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със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свободен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достъп</w:t>
      </w:r>
      <w:proofErr w:type="spellEnd"/>
      <w:r w:rsidR="00326E4D" w:rsidRPr="00326E4D">
        <w:rPr>
          <w:lang w:val="en-US"/>
        </w:rPr>
        <w:t xml:space="preserve"> в </w:t>
      </w:r>
      <w:proofErr w:type="spellStart"/>
      <w:r w:rsidR="00326E4D" w:rsidRPr="00326E4D">
        <w:rPr>
          <w:lang w:val="en-US"/>
        </w:rPr>
        <w:t>Европа</w:t>
      </w:r>
      <w:proofErr w:type="spellEnd"/>
      <w:r w:rsidR="00326E4D" w:rsidRPr="00326E4D">
        <w:rPr>
          <w:lang w:val="en-US"/>
        </w:rPr>
        <w:t xml:space="preserve">, </w:t>
      </w:r>
      <w:proofErr w:type="spellStart"/>
      <w:r w:rsidR="00326E4D" w:rsidRPr="00326E4D">
        <w:rPr>
          <w:lang w:val="en-US"/>
        </w:rPr>
        <w:t>които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не</w:t>
      </w:r>
      <w:proofErr w:type="spellEnd"/>
      <w:r w:rsidR="00326E4D" w:rsidRPr="00326E4D">
        <w:rPr>
          <w:lang w:val="en-US"/>
        </w:rPr>
        <w:t xml:space="preserve"> </w:t>
      </w:r>
      <w:r w:rsidR="00BB343C">
        <w:t>водят до</w:t>
      </w:r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разходи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за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авторите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или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читателите</w:t>
      </w:r>
      <w:proofErr w:type="spellEnd"/>
      <w:r w:rsidR="00326E4D" w:rsidRPr="00326E4D">
        <w:rPr>
          <w:lang w:val="en-US"/>
        </w:rPr>
        <w:t xml:space="preserve">. И </w:t>
      </w:r>
      <w:proofErr w:type="spellStart"/>
      <w:r w:rsidR="00326E4D" w:rsidRPr="00326E4D">
        <w:rPr>
          <w:lang w:val="en-US"/>
        </w:rPr>
        <w:t>накрая</w:t>
      </w:r>
      <w:proofErr w:type="spellEnd"/>
      <w:r w:rsidR="00326E4D" w:rsidRPr="00326E4D">
        <w:rPr>
          <w:lang w:val="en-US"/>
        </w:rPr>
        <w:t xml:space="preserve">, </w:t>
      </w:r>
      <w:r w:rsidR="00326E4D">
        <w:t>Съветът</w:t>
      </w:r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се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застъпва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за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обучение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по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отговорни</w:t>
      </w:r>
      <w:proofErr w:type="spellEnd"/>
      <w:r w:rsidR="00326E4D" w:rsidRPr="00326E4D">
        <w:rPr>
          <w:lang w:val="en-US"/>
        </w:rPr>
        <w:t xml:space="preserve">, </w:t>
      </w:r>
      <w:proofErr w:type="spellStart"/>
      <w:r w:rsidR="00326E4D" w:rsidRPr="00326E4D">
        <w:rPr>
          <w:lang w:val="en-US"/>
        </w:rPr>
        <w:t>отворени</w:t>
      </w:r>
      <w:proofErr w:type="spellEnd"/>
      <w:r w:rsidR="00326E4D" w:rsidRPr="00326E4D">
        <w:rPr>
          <w:lang w:val="en-US"/>
        </w:rPr>
        <w:t xml:space="preserve">, </w:t>
      </w:r>
      <w:proofErr w:type="spellStart"/>
      <w:r w:rsidR="00326E4D" w:rsidRPr="00326E4D">
        <w:rPr>
          <w:lang w:val="en-US"/>
        </w:rPr>
        <w:t>честни</w:t>
      </w:r>
      <w:proofErr w:type="spellEnd"/>
      <w:r w:rsidR="00326E4D" w:rsidRPr="00326E4D">
        <w:rPr>
          <w:lang w:val="en-US"/>
        </w:rPr>
        <w:t xml:space="preserve"> и </w:t>
      </w:r>
      <w:proofErr w:type="spellStart"/>
      <w:r w:rsidR="00326E4D" w:rsidRPr="00326E4D">
        <w:rPr>
          <w:lang w:val="en-US"/>
        </w:rPr>
        <w:t>етични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издателски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практики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за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студенти</w:t>
      </w:r>
      <w:proofErr w:type="spellEnd"/>
      <w:r w:rsidR="00326E4D" w:rsidRPr="00326E4D">
        <w:rPr>
          <w:lang w:val="en-US"/>
        </w:rPr>
        <w:t xml:space="preserve"> и </w:t>
      </w:r>
      <w:proofErr w:type="spellStart"/>
      <w:r w:rsidR="00326E4D" w:rsidRPr="00326E4D">
        <w:rPr>
          <w:lang w:val="en-US"/>
        </w:rPr>
        <w:t>изследователи</w:t>
      </w:r>
      <w:proofErr w:type="spellEnd"/>
      <w:r w:rsidR="00326E4D" w:rsidRPr="00326E4D">
        <w:rPr>
          <w:lang w:val="en-US"/>
        </w:rPr>
        <w:t xml:space="preserve">, </w:t>
      </w:r>
      <w:proofErr w:type="spellStart"/>
      <w:r w:rsidR="00326E4D" w:rsidRPr="00326E4D">
        <w:rPr>
          <w:lang w:val="en-US"/>
        </w:rPr>
        <w:t>като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по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този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начин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се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подобри</w:t>
      </w:r>
      <w:proofErr w:type="spellEnd"/>
      <w:r w:rsidR="00326E4D" w:rsidRPr="00326E4D">
        <w:rPr>
          <w:lang w:val="en-US"/>
        </w:rPr>
        <w:t xml:space="preserve"> и </w:t>
      </w:r>
      <w:proofErr w:type="spellStart"/>
      <w:r w:rsidR="00326E4D" w:rsidRPr="00326E4D">
        <w:rPr>
          <w:lang w:val="en-US"/>
        </w:rPr>
        <w:t>осведомеността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за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хищнически</w:t>
      </w:r>
      <w:proofErr w:type="spellEnd"/>
      <w:r w:rsidR="00326E4D" w:rsidRPr="00326E4D">
        <w:rPr>
          <w:lang w:val="en-US"/>
        </w:rPr>
        <w:t xml:space="preserve">, </w:t>
      </w:r>
      <w:proofErr w:type="spellStart"/>
      <w:r w:rsidR="00326E4D" w:rsidRPr="00326E4D">
        <w:rPr>
          <w:lang w:val="en-US"/>
        </w:rPr>
        <w:t>съмнителни</w:t>
      </w:r>
      <w:proofErr w:type="spellEnd"/>
      <w:r w:rsidR="00326E4D" w:rsidRPr="00326E4D">
        <w:rPr>
          <w:lang w:val="en-US"/>
        </w:rPr>
        <w:t xml:space="preserve">, </w:t>
      </w:r>
      <w:proofErr w:type="spellStart"/>
      <w:r w:rsidR="00326E4D" w:rsidRPr="00326E4D">
        <w:rPr>
          <w:lang w:val="en-US"/>
        </w:rPr>
        <w:t>измамни</w:t>
      </w:r>
      <w:proofErr w:type="spellEnd"/>
      <w:r w:rsidR="00326E4D" w:rsidRPr="00326E4D">
        <w:rPr>
          <w:lang w:val="en-US"/>
        </w:rPr>
        <w:t xml:space="preserve"> и </w:t>
      </w:r>
      <w:proofErr w:type="spellStart"/>
      <w:r w:rsidR="00326E4D" w:rsidRPr="00326E4D">
        <w:rPr>
          <w:lang w:val="en-US"/>
        </w:rPr>
        <w:t>по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друг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начин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неприемливи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издателски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практики</w:t>
      </w:r>
      <w:proofErr w:type="spellEnd"/>
      <w:r w:rsidR="00326E4D" w:rsidRPr="00326E4D">
        <w:rPr>
          <w:lang w:val="en-US"/>
        </w:rPr>
        <w:t xml:space="preserve"> и </w:t>
      </w:r>
      <w:proofErr w:type="spellStart"/>
      <w:r w:rsidR="00326E4D" w:rsidRPr="00326E4D">
        <w:rPr>
          <w:lang w:val="en-US"/>
        </w:rPr>
        <w:t>тяхното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отрицателно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въздействие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върху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качеството</w:t>
      </w:r>
      <w:proofErr w:type="spellEnd"/>
      <w:r w:rsidR="00326E4D" w:rsidRPr="00326E4D">
        <w:rPr>
          <w:lang w:val="en-US"/>
        </w:rPr>
        <w:t xml:space="preserve"> и </w:t>
      </w:r>
      <w:proofErr w:type="spellStart"/>
      <w:r w:rsidR="00326E4D" w:rsidRPr="00326E4D">
        <w:rPr>
          <w:lang w:val="en-US"/>
        </w:rPr>
        <w:t>надеждността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на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научните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изследвания</w:t>
      </w:r>
      <w:proofErr w:type="spellEnd"/>
      <w:r w:rsidR="00326E4D" w:rsidRPr="00326E4D">
        <w:rPr>
          <w:lang w:val="en-US"/>
        </w:rPr>
        <w:t xml:space="preserve"> и </w:t>
      </w:r>
      <w:proofErr w:type="spellStart"/>
      <w:r w:rsidR="00326E4D" w:rsidRPr="00326E4D">
        <w:rPr>
          <w:lang w:val="en-US"/>
        </w:rPr>
        <w:t>техните</w:t>
      </w:r>
      <w:proofErr w:type="spellEnd"/>
      <w:r w:rsidR="00326E4D" w:rsidRPr="00326E4D">
        <w:rPr>
          <w:lang w:val="en-US"/>
        </w:rPr>
        <w:t xml:space="preserve"> </w:t>
      </w:r>
      <w:proofErr w:type="spellStart"/>
      <w:r w:rsidR="00326E4D" w:rsidRPr="00326E4D">
        <w:rPr>
          <w:lang w:val="en-US"/>
        </w:rPr>
        <w:t>резултати</w:t>
      </w:r>
      <w:proofErr w:type="spellEnd"/>
      <w:r w:rsidR="00326E4D" w:rsidRPr="00326E4D">
        <w:rPr>
          <w:lang w:val="en-US"/>
        </w:rPr>
        <w:t>.</w:t>
      </w:r>
    </w:p>
    <w:p w:rsidR="007831AA" w:rsidRDefault="007831AA" w:rsidP="00104060">
      <w:pPr>
        <w:spacing w:after="0"/>
        <w:jc w:val="both"/>
        <w:rPr>
          <w:rFonts w:ascii="Cambria Math" w:hAnsi="Cambria Math" w:cs="Cambria Math"/>
          <w:i/>
          <w:lang w:val="en-US"/>
        </w:rPr>
      </w:pPr>
    </w:p>
    <w:p w:rsidR="00326E4D" w:rsidRDefault="00326E4D" w:rsidP="00104060">
      <w:pPr>
        <w:spacing w:after="0"/>
        <w:jc w:val="both"/>
        <w:rPr>
          <w:i/>
          <w:lang w:val="en-US"/>
        </w:rPr>
      </w:pPr>
      <w:r w:rsidRPr="00326E4D">
        <w:rPr>
          <w:rFonts w:ascii="Cambria Math" w:hAnsi="Cambria Math" w:cs="Cambria Math"/>
          <w:i/>
          <w:lang w:val="en-US"/>
        </w:rPr>
        <w:t>⇨</w:t>
      </w:r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От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академиите</w:t>
      </w:r>
      <w:proofErr w:type="spellEnd"/>
      <w:r w:rsidRPr="00326E4D">
        <w:rPr>
          <w:i/>
          <w:lang w:val="en-US"/>
        </w:rPr>
        <w:t xml:space="preserve"> и </w:t>
      </w:r>
      <w:proofErr w:type="spellStart"/>
      <w:r w:rsidRPr="00326E4D">
        <w:rPr>
          <w:i/>
          <w:lang w:val="en-US"/>
        </w:rPr>
        <w:t>научните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дружества</w:t>
      </w:r>
      <w:proofErr w:type="spellEnd"/>
      <w:r w:rsidRPr="00326E4D">
        <w:rPr>
          <w:i/>
          <w:lang w:val="en-US"/>
        </w:rPr>
        <w:t xml:space="preserve">, </w:t>
      </w:r>
      <w:proofErr w:type="spellStart"/>
      <w:r w:rsidRPr="00326E4D">
        <w:rPr>
          <w:i/>
          <w:lang w:val="en-US"/>
        </w:rPr>
        <w:t>институции</w:t>
      </w:r>
      <w:proofErr w:type="spellEnd"/>
      <w:r w:rsidRPr="00326E4D">
        <w:rPr>
          <w:i/>
          <w:lang w:val="en-US"/>
        </w:rPr>
        <w:t xml:space="preserve"> в </w:t>
      </w:r>
      <w:proofErr w:type="spellStart"/>
      <w:r w:rsidRPr="00326E4D">
        <w:rPr>
          <w:i/>
          <w:lang w:val="en-US"/>
        </w:rPr>
        <w:t>Европа</w:t>
      </w:r>
      <w:proofErr w:type="spellEnd"/>
      <w:r w:rsidRPr="00326E4D">
        <w:rPr>
          <w:i/>
          <w:lang w:val="en-US"/>
        </w:rPr>
        <w:t xml:space="preserve"> с </w:t>
      </w:r>
      <w:proofErr w:type="spellStart"/>
      <w:r w:rsidRPr="00326E4D">
        <w:rPr>
          <w:i/>
          <w:lang w:val="en-US"/>
        </w:rPr>
        <w:t>дългогодишна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традиция</w:t>
      </w:r>
      <w:proofErr w:type="spellEnd"/>
      <w:r w:rsidRPr="00326E4D">
        <w:rPr>
          <w:i/>
          <w:lang w:val="en-US"/>
        </w:rPr>
        <w:t xml:space="preserve"> в </w:t>
      </w:r>
      <w:proofErr w:type="spellStart"/>
      <w:r w:rsidRPr="00326E4D">
        <w:rPr>
          <w:i/>
          <w:lang w:val="en-US"/>
        </w:rPr>
        <w:t>създаването</w:t>
      </w:r>
      <w:proofErr w:type="spellEnd"/>
      <w:r w:rsidRPr="00326E4D">
        <w:rPr>
          <w:i/>
          <w:lang w:val="en-US"/>
        </w:rPr>
        <w:t xml:space="preserve"> и </w:t>
      </w:r>
      <w:proofErr w:type="spellStart"/>
      <w:r w:rsidRPr="00326E4D">
        <w:rPr>
          <w:i/>
          <w:lang w:val="en-US"/>
        </w:rPr>
        <w:t>поддържането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на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списания</w:t>
      </w:r>
      <w:proofErr w:type="spellEnd"/>
      <w:r w:rsidRPr="00326E4D">
        <w:rPr>
          <w:i/>
          <w:lang w:val="en-US"/>
        </w:rPr>
        <w:t xml:space="preserve"> с </w:t>
      </w:r>
      <w:proofErr w:type="spellStart"/>
      <w:r w:rsidRPr="00326E4D">
        <w:rPr>
          <w:i/>
          <w:lang w:val="en-US"/>
        </w:rPr>
        <w:t>нестопанска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цел</w:t>
      </w:r>
      <w:proofErr w:type="spellEnd"/>
      <w:r w:rsidRPr="00326E4D">
        <w:rPr>
          <w:i/>
          <w:lang w:val="en-US"/>
        </w:rPr>
        <w:t xml:space="preserve">, </w:t>
      </w:r>
      <w:proofErr w:type="spellStart"/>
      <w:r w:rsidRPr="00326E4D">
        <w:rPr>
          <w:i/>
          <w:lang w:val="en-US"/>
        </w:rPr>
        <w:t>се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изисква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да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подкрепят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решително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политиките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за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некомерсиално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публикуване</w:t>
      </w:r>
      <w:proofErr w:type="spellEnd"/>
      <w:r w:rsidRPr="00326E4D">
        <w:rPr>
          <w:i/>
          <w:lang w:val="en-US"/>
        </w:rPr>
        <w:t xml:space="preserve"> и </w:t>
      </w:r>
      <w:proofErr w:type="spellStart"/>
      <w:r w:rsidRPr="00326E4D">
        <w:rPr>
          <w:i/>
          <w:lang w:val="en-US"/>
        </w:rPr>
        <w:t>да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допринасят</w:t>
      </w:r>
      <w:proofErr w:type="spellEnd"/>
      <w:r w:rsidRPr="00326E4D">
        <w:rPr>
          <w:i/>
          <w:lang w:val="en-US"/>
        </w:rPr>
        <w:t xml:space="preserve"> с </w:t>
      </w:r>
      <w:proofErr w:type="spellStart"/>
      <w:r w:rsidRPr="00326E4D">
        <w:rPr>
          <w:i/>
          <w:lang w:val="en-US"/>
        </w:rPr>
        <w:t>ресурси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за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разработването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на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алтернативни</w:t>
      </w:r>
      <w:proofErr w:type="spellEnd"/>
      <w:r w:rsidRPr="00326E4D">
        <w:rPr>
          <w:i/>
          <w:lang w:val="en-US"/>
        </w:rPr>
        <w:t xml:space="preserve">, </w:t>
      </w:r>
      <w:proofErr w:type="spellStart"/>
      <w:r w:rsidRPr="00326E4D">
        <w:rPr>
          <w:i/>
          <w:lang w:val="en-US"/>
        </w:rPr>
        <w:t>отворени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платформи</w:t>
      </w:r>
      <w:proofErr w:type="spellEnd"/>
      <w:r w:rsidRPr="00326E4D">
        <w:rPr>
          <w:i/>
          <w:lang w:val="en-US"/>
        </w:rPr>
        <w:t xml:space="preserve"> с </w:t>
      </w:r>
      <w:proofErr w:type="spellStart"/>
      <w:r w:rsidRPr="00326E4D">
        <w:rPr>
          <w:i/>
          <w:lang w:val="en-US"/>
        </w:rPr>
        <w:t>нестопанска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цел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за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научно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публикуване</w:t>
      </w:r>
      <w:proofErr w:type="spellEnd"/>
      <w:r w:rsidRPr="00326E4D">
        <w:rPr>
          <w:i/>
          <w:lang w:val="en-US"/>
        </w:rPr>
        <w:t xml:space="preserve">, </w:t>
      </w:r>
      <w:proofErr w:type="spellStart"/>
      <w:r w:rsidRPr="00326E4D">
        <w:rPr>
          <w:i/>
          <w:lang w:val="en-US"/>
        </w:rPr>
        <w:t>каквито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са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примерите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на</w:t>
      </w:r>
      <w:proofErr w:type="spellEnd"/>
      <w:r w:rsidRPr="00326E4D">
        <w:rPr>
          <w:i/>
          <w:lang w:val="en-US"/>
        </w:rPr>
        <w:t xml:space="preserve"> Open Research Europe, </w:t>
      </w:r>
      <w:proofErr w:type="spellStart"/>
      <w:r w:rsidRPr="00326E4D">
        <w:rPr>
          <w:i/>
          <w:lang w:val="en-US"/>
        </w:rPr>
        <w:t>Wellcome</w:t>
      </w:r>
      <w:proofErr w:type="spellEnd"/>
      <w:r w:rsidRPr="00326E4D">
        <w:rPr>
          <w:i/>
          <w:lang w:val="en-US"/>
        </w:rPr>
        <w:t xml:space="preserve"> Open Research и HRB Open Research. </w:t>
      </w:r>
      <w:proofErr w:type="spellStart"/>
      <w:r w:rsidRPr="00326E4D">
        <w:rPr>
          <w:i/>
          <w:lang w:val="en-US"/>
        </w:rPr>
        <w:t>Освен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това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от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академиите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се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очаква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да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продължат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да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насърчават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използването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на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сървъри</w:t>
      </w:r>
      <w:proofErr w:type="spellEnd"/>
      <w:r>
        <w:rPr>
          <w:i/>
          <w:lang w:val="en-US"/>
        </w:rPr>
        <w:t xml:space="preserve"> </w:t>
      </w:r>
      <w:r w:rsidR="00B27BAD">
        <w:rPr>
          <w:i/>
        </w:rPr>
        <w:t>за оригиналните</w:t>
      </w:r>
      <w:r>
        <w:rPr>
          <w:i/>
        </w:rPr>
        <w:t xml:space="preserve"> версии на авторите</w:t>
      </w:r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за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да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стимулират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ранното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разпространение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на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нови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резултати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от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научни</w:t>
      </w:r>
      <w:proofErr w:type="spellEnd"/>
      <w:r w:rsidRPr="00326E4D">
        <w:rPr>
          <w:i/>
          <w:lang w:val="en-US"/>
        </w:rPr>
        <w:t xml:space="preserve"> </w:t>
      </w:r>
      <w:proofErr w:type="spellStart"/>
      <w:r w:rsidRPr="00326E4D">
        <w:rPr>
          <w:i/>
          <w:lang w:val="en-US"/>
        </w:rPr>
        <w:t>изследвания</w:t>
      </w:r>
      <w:proofErr w:type="spellEnd"/>
      <w:r w:rsidRPr="00326E4D">
        <w:rPr>
          <w:i/>
          <w:lang w:val="en-US"/>
        </w:rPr>
        <w:t>.</w:t>
      </w:r>
    </w:p>
    <w:p w:rsidR="00BB343C" w:rsidRPr="00104060" w:rsidRDefault="00BB343C" w:rsidP="00104060">
      <w:pPr>
        <w:spacing w:after="0"/>
        <w:jc w:val="both"/>
        <w:rPr>
          <w:i/>
          <w:lang w:val="en-US"/>
        </w:rPr>
      </w:pPr>
    </w:p>
    <w:p w:rsidR="00104060" w:rsidRDefault="00104060" w:rsidP="00104060">
      <w:pPr>
        <w:spacing w:after="0"/>
        <w:jc w:val="both"/>
        <w:rPr>
          <w:lang w:val="en-US"/>
        </w:rPr>
      </w:pPr>
    </w:p>
    <w:p w:rsidR="002A6D85" w:rsidRPr="002A6D85" w:rsidRDefault="002A6D85" w:rsidP="002A6D85">
      <w:pPr>
        <w:spacing w:after="0"/>
        <w:jc w:val="both"/>
        <w:rPr>
          <w:b/>
          <w:sz w:val="24"/>
          <w:szCs w:val="24"/>
          <w:lang w:val="en-US"/>
        </w:rPr>
      </w:pPr>
      <w:r w:rsidRPr="002A6D85">
        <w:rPr>
          <w:b/>
          <w:sz w:val="24"/>
          <w:szCs w:val="24"/>
          <w:lang w:val="en-US"/>
        </w:rPr>
        <w:t xml:space="preserve">За ALLEA </w:t>
      </w:r>
    </w:p>
    <w:p w:rsidR="002A6D85" w:rsidRDefault="002A6D85" w:rsidP="002A6D85">
      <w:pPr>
        <w:jc w:val="both"/>
      </w:pPr>
      <w:r>
        <w:t xml:space="preserve">ALLEA е Европейската федерация на академиите на науките, която представлява повече от 50 академии от над 40 страни в Европа. От основаването си през 1994 г. ALLEA дава изказ на своите членове на европейската и международната сцена, популяризира науката като глобално обществено благо и улеснява научното сътрудничество между отделните държави и дисциплини. Научете повече: </w:t>
      </w:r>
      <w:r>
        <w:fldChar w:fldCharType="begin"/>
      </w:r>
      <w:r>
        <w:instrText xml:space="preserve"> HYPERLINK "http://www.allea.org" </w:instrText>
      </w:r>
      <w:r>
        <w:fldChar w:fldCharType="separate"/>
      </w:r>
      <w:r w:rsidRPr="00515DD2">
        <w:rPr>
          <w:rStyle w:val="Hyperlink"/>
        </w:rPr>
        <w:t>www.allea.org</w:t>
      </w:r>
      <w:r>
        <w:rPr>
          <w:rStyle w:val="Hyperlink"/>
        </w:rPr>
        <w:fldChar w:fldCharType="end"/>
      </w:r>
      <w:r>
        <w:t xml:space="preserve"> </w:t>
      </w:r>
    </w:p>
    <w:p w:rsidR="00104060" w:rsidRDefault="00104060" w:rsidP="00104060">
      <w:pPr>
        <w:spacing w:after="0"/>
        <w:jc w:val="both"/>
        <w:rPr>
          <w:lang w:val="en-US"/>
        </w:rPr>
      </w:pPr>
    </w:p>
    <w:p w:rsidR="002A6D85" w:rsidRPr="002A6D85" w:rsidRDefault="002A6D85" w:rsidP="00104060">
      <w:pPr>
        <w:spacing w:after="0"/>
        <w:jc w:val="both"/>
        <w:rPr>
          <w:b/>
          <w:sz w:val="24"/>
          <w:szCs w:val="24"/>
          <w:lang w:val="en-US"/>
        </w:rPr>
      </w:pPr>
      <w:proofErr w:type="spellStart"/>
      <w:r w:rsidRPr="002A6D85">
        <w:rPr>
          <w:b/>
          <w:sz w:val="24"/>
          <w:szCs w:val="24"/>
          <w:lang w:val="en-US"/>
        </w:rPr>
        <w:t>За</w:t>
      </w:r>
      <w:proofErr w:type="spellEnd"/>
      <w:r w:rsidRPr="002A6D85">
        <w:rPr>
          <w:b/>
          <w:sz w:val="24"/>
          <w:szCs w:val="24"/>
          <w:lang w:val="en-US"/>
        </w:rPr>
        <w:t xml:space="preserve"> </w:t>
      </w:r>
      <w:proofErr w:type="spellStart"/>
      <w:r w:rsidRPr="002A6D85">
        <w:rPr>
          <w:b/>
          <w:sz w:val="24"/>
          <w:szCs w:val="24"/>
          <w:lang w:val="en-US"/>
        </w:rPr>
        <w:t>това</w:t>
      </w:r>
      <w:proofErr w:type="spellEnd"/>
      <w:r w:rsidRPr="002A6D85">
        <w:rPr>
          <w:b/>
          <w:sz w:val="24"/>
          <w:szCs w:val="24"/>
          <w:lang w:val="en-US"/>
        </w:rPr>
        <w:t xml:space="preserve"> </w:t>
      </w:r>
      <w:proofErr w:type="spellStart"/>
      <w:r w:rsidRPr="002A6D85">
        <w:rPr>
          <w:b/>
          <w:sz w:val="24"/>
          <w:szCs w:val="24"/>
          <w:lang w:val="en-US"/>
        </w:rPr>
        <w:t>изявление</w:t>
      </w:r>
      <w:proofErr w:type="spellEnd"/>
      <w:r w:rsidRPr="002A6D85">
        <w:rPr>
          <w:b/>
          <w:sz w:val="24"/>
          <w:szCs w:val="24"/>
          <w:lang w:val="en-US"/>
        </w:rPr>
        <w:t xml:space="preserve"> </w:t>
      </w:r>
    </w:p>
    <w:p w:rsidR="002A6D85" w:rsidRPr="00D32EC2" w:rsidRDefault="002A6D85" w:rsidP="00104060">
      <w:pPr>
        <w:spacing w:after="0"/>
        <w:jc w:val="both"/>
      </w:pPr>
      <w:proofErr w:type="spellStart"/>
      <w:r w:rsidRPr="002A6D85">
        <w:rPr>
          <w:lang w:val="en-US"/>
        </w:rPr>
        <w:t>Настоящото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изявление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на</w:t>
      </w:r>
      <w:proofErr w:type="spellEnd"/>
      <w:r w:rsidRPr="002A6D85">
        <w:rPr>
          <w:lang w:val="en-US"/>
        </w:rPr>
        <w:t xml:space="preserve"> ALLEA е </w:t>
      </w:r>
      <w:proofErr w:type="spellStart"/>
      <w:r w:rsidRPr="002A6D85">
        <w:rPr>
          <w:lang w:val="en-US"/>
        </w:rPr>
        <w:t>подготвено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от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Постоянната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работна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група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на</w:t>
      </w:r>
      <w:proofErr w:type="spellEnd"/>
      <w:r w:rsidRPr="002A6D85">
        <w:rPr>
          <w:lang w:val="en-US"/>
        </w:rPr>
        <w:t xml:space="preserve"> ALLEA </w:t>
      </w:r>
      <w:proofErr w:type="spellStart"/>
      <w:r w:rsidRPr="002A6D85">
        <w:rPr>
          <w:lang w:val="en-US"/>
        </w:rPr>
        <w:t>по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наука</w:t>
      </w:r>
      <w:proofErr w:type="spellEnd"/>
      <w:r w:rsidRPr="002A6D85">
        <w:rPr>
          <w:lang w:val="en-US"/>
        </w:rPr>
        <w:t xml:space="preserve"> и </w:t>
      </w:r>
      <w:proofErr w:type="spellStart"/>
      <w:r w:rsidRPr="002A6D85">
        <w:rPr>
          <w:lang w:val="en-US"/>
        </w:rPr>
        <w:t>етика</w:t>
      </w:r>
      <w:proofErr w:type="spellEnd"/>
      <w:r w:rsidRPr="002A6D85">
        <w:rPr>
          <w:lang w:val="en-US"/>
        </w:rPr>
        <w:t xml:space="preserve">, с </w:t>
      </w:r>
      <w:proofErr w:type="spellStart"/>
      <w:r w:rsidRPr="002A6D85">
        <w:rPr>
          <w:lang w:val="en-US"/>
        </w:rPr>
        <w:t>главен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автор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професор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Ласло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Фесюс</w:t>
      </w:r>
      <w:proofErr w:type="spellEnd"/>
      <w:r>
        <w:rPr>
          <w:lang w:val="en-US"/>
        </w:rPr>
        <w:t>.</w:t>
      </w:r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Чрез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своите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работни</w:t>
      </w:r>
      <w:proofErr w:type="spellEnd"/>
      <w:r w:rsidRPr="002A6D85">
        <w:rPr>
          <w:lang w:val="en-US"/>
        </w:rPr>
        <w:t xml:space="preserve"> и </w:t>
      </w:r>
      <w:proofErr w:type="spellStart"/>
      <w:r w:rsidRPr="002A6D85">
        <w:rPr>
          <w:lang w:val="en-US"/>
        </w:rPr>
        <w:t>експертни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групи</w:t>
      </w:r>
      <w:proofErr w:type="spellEnd"/>
      <w:r w:rsidRPr="002A6D85">
        <w:rPr>
          <w:lang w:val="en-US"/>
        </w:rPr>
        <w:t xml:space="preserve"> ALLEA </w:t>
      </w:r>
      <w:proofErr w:type="spellStart"/>
      <w:r w:rsidRPr="002A6D85">
        <w:rPr>
          <w:lang w:val="en-US"/>
        </w:rPr>
        <w:t>дава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своя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принос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от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името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на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европейските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академии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по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неотложни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обществени</w:t>
      </w:r>
      <w:proofErr w:type="spellEnd"/>
      <w:r w:rsidRPr="002A6D85">
        <w:rPr>
          <w:lang w:val="en-US"/>
        </w:rPr>
        <w:t xml:space="preserve">, </w:t>
      </w:r>
      <w:proofErr w:type="spellStart"/>
      <w:r w:rsidRPr="002A6D85">
        <w:rPr>
          <w:lang w:val="en-US"/>
        </w:rPr>
        <w:t>научни</w:t>
      </w:r>
      <w:proofErr w:type="spellEnd"/>
      <w:r w:rsidRPr="002A6D85">
        <w:rPr>
          <w:lang w:val="en-US"/>
        </w:rPr>
        <w:t xml:space="preserve"> и </w:t>
      </w:r>
      <w:proofErr w:type="spellStart"/>
      <w:r w:rsidRPr="002A6D85">
        <w:rPr>
          <w:lang w:val="en-US"/>
        </w:rPr>
        <w:t>научно-политически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дебати</w:t>
      </w:r>
      <w:proofErr w:type="spellEnd"/>
      <w:r w:rsidRPr="002A6D85">
        <w:rPr>
          <w:lang w:val="en-US"/>
        </w:rPr>
        <w:t xml:space="preserve"> и </w:t>
      </w:r>
      <w:proofErr w:type="spellStart"/>
      <w:r w:rsidRPr="002A6D85">
        <w:rPr>
          <w:lang w:val="en-US"/>
        </w:rPr>
        <w:t>свързаните</w:t>
      </w:r>
      <w:proofErr w:type="spellEnd"/>
      <w:r w:rsidRPr="002A6D85">
        <w:rPr>
          <w:lang w:val="en-US"/>
        </w:rPr>
        <w:t xml:space="preserve"> с </w:t>
      </w:r>
      <w:proofErr w:type="spellStart"/>
      <w:r w:rsidRPr="002A6D85">
        <w:rPr>
          <w:lang w:val="en-US"/>
        </w:rPr>
        <w:t>тях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законодателни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актове</w:t>
      </w:r>
      <w:proofErr w:type="spellEnd"/>
      <w:r w:rsidRPr="002A6D85">
        <w:rPr>
          <w:lang w:val="en-US"/>
        </w:rPr>
        <w:t xml:space="preserve">. </w:t>
      </w:r>
      <w:proofErr w:type="spellStart"/>
      <w:r w:rsidRPr="002A6D85">
        <w:rPr>
          <w:lang w:val="en-US"/>
        </w:rPr>
        <w:t>Със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своята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работа</w:t>
      </w:r>
      <w:proofErr w:type="spellEnd"/>
      <w:r w:rsidRPr="002A6D85">
        <w:rPr>
          <w:lang w:val="en-US"/>
        </w:rPr>
        <w:t xml:space="preserve"> ALLEA </w:t>
      </w:r>
      <w:proofErr w:type="spellStart"/>
      <w:r w:rsidRPr="002A6D85">
        <w:rPr>
          <w:lang w:val="en-US"/>
        </w:rPr>
        <w:t>се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стреми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да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гарантира</w:t>
      </w:r>
      <w:proofErr w:type="spellEnd"/>
      <w:r w:rsidRPr="002A6D85">
        <w:rPr>
          <w:lang w:val="en-US"/>
        </w:rPr>
        <w:t xml:space="preserve">, </w:t>
      </w:r>
      <w:proofErr w:type="spellStart"/>
      <w:r w:rsidRPr="002A6D85">
        <w:rPr>
          <w:lang w:val="en-US"/>
        </w:rPr>
        <w:t>че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науката</w:t>
      </w:r>
      <w:proofErr w:type="spellEnd"/>
      <w:r w:rsidRPr="002A6D85">
        <w:rPr>
          <w:lang w:val="en-US"/>
        </w:rPr>
        <w:t xml:space="preserve"> и </w:t>
      </w:r>
      <w:proofErr w:type="spellStart"/>
      <w:r w:rsidRPr="002A6D85">
        <w:rPr>
          <w:lang w:val="en-US"/>
        </w:rPr>
        <w:t>научните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изследвания</w:t>
      </w:r>
      <w:proofErr w:type="spellEnd"/>
      <w:r w:rsidRPr="002A6D85">
        <w:rPr>
          <w:lang w:val="en-US"/>
        </w:rPr>
        <w:t xml:space="preserve"> в </w:t>
      </w:r>
      <w:proofErr w:type="spellStart"/>
      <w:r w:rsidRPr="002A6D85">
        <w:rPr>
          <w:lang w:val="en-US"/>
        </w:rPr>
        <w:t>Европа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могат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да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се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развиват</w:t>
      </w:r>
      <w:proofErr w:type="spellEnd"/>
      <w:r w:rsidRPr="002A6D85">
        <w:rPr>
          <w:lang w:val="en-US"/>
        </w:rPr>
        <w:t xml:space="preserve"> и </w:t>
      </w:r>
      <w:proofErr w:type="spellStart"/>
      <w:r w:rsidRPr="002A6D85">
        <w:rPr>
          <w:lang w:val="en-US"/>
        </w:rPr>
        <w:t>да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служат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на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интересите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на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обществото</w:t>
      </w:r>
      <w:proofErr w:type="spellEnd"/>
      <w:r w:rsidRPr="002A6D85">
        <w:rPr>
          <w:lang w:val="en-US"/>
        </w:rPr>
        <w:t xml:space="preserve">. </w:t>
      </w:r>
      <w:proofErr w:type="spellStart"/>
      <w:r w:rsidRPr="002A6D85">
        <w:rPr>
          <w:lang w:val="en-US"/>
        </w:rPr>
        <w:t>Прочетете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повече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за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Постоянната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работна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група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на</w:t>
      </w:r>
      <w:proofErr w:type="spellEnd"/>
      <w:r w:rsidRPr="002A6D85">
        <w:rPr>
          <w:lang w:val="en-US"/>
        </w:rPr>
        <w:t xml:space="preserve"> ALLEA </w:t>
      </w:r>
      <w:proofErr w:type="spellStart"/>
      <w:r w:rsidRPr="002A6D85">
        <w:rPr>
          <w:lang w:val="en-US"/>
        </w:rPr>
        <w:t>по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наука</w:t>
      </w:r>
      <w:proofErr w:type="spellEnd"/>
      <w:r w:rsidRPr="002A6D85">
        <w:rPr>
          <w:lang w:val="en-US"/>
        </w:rPr>
        <w:t xml:space="preserve"> и </w:t>
      </w:r>
      <w:proofErr w:type="spellStart"/>
      <w:r w:rsidRPr="002A6D85">
        <w:rPr>
          <w:lang w:val="en-US"/>
        </w:rPr>
        <w:t>етика</w:t>
      </w:r>
      <w:proofErr w:type="spellEnd"/>
      <w:r w:rsidRPr="002A6D85">
        <w:rPr>
          <w:lang w:val="en-US"/>
        </w:rPr>
        <w:t xml:space="preserve"> и </w:t>
      </w:r>
      <w:r w:rsidR="00D32EC2">
        <w:t xml:space="preserve">за </w:t>
      </w:r>
      <w:proofErr w:type="spellStart"/>
      <w:r w:rsidRPr="002A6D85">
        <w:rPr>
          <w:lang w:val="en-US"/>
        </w:rPr>
        <w:t>нейните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членове</w:t>
      </w:r>
      <w:proofErr w:type="spellEnd"/>
      <w:r w:rsidRPr="002A6D85">
        <w:rPr>
          <w:lang w:val="en-US"/>
        </w:rPr>
        <w:t xml:space="preserve"> </w:t>
      </w:r>
      <w:proofErr w:type="spellStart"/>
      <w:r w:rsidRPr="002A6D85">
        <w:rPr>
          <w:lang w:val="en-US"/>
        </w:rPr>
        <w:t>тук</w:t>
      </w:r>
      <w:proofErr w:type="spellEnd"/>
      <w:r w:rsidRPr="002A6D85">
        <w:rPr>
          <w:lang w:val="en-US"/>
        </w:rPr>
        <w:t xml:space="preserve">: </w:t>
      </w:r>
      <w:hyperlink r:id="rId7" w:history="1">
        <w:r w:rsidR="00D32EC2" w:rsidRPr="009E420C">
          <w:rPr>
            <w:rStyle w:val="Hyperlink"/>
            <w:lang w:val="en-US"/>
          </w:rPr>
          <w:t>https://allea.org/research-integrity-and-research-ethics/</w:t>
        </w:r>
      </w:hyperlink>
      <w:r w:rsidR="00D32EC2">
        <w:t xml:space="preserve"> </w:t>
      </w:r>
    </w:p>
    <w:p w:rsidR="00104060" w:rsidRDefault="00104060" w:rsidP="00104060">
      <w:pPr>
        <w:spacing w:after="0"/>
        <w:jc w:val="both"/>
        <w:rPr>
          <w:b/>
          <w:sz w:val="24"/>
          <w:szCs w:val="24"/>
          <w:lang w:val="en-US"/>
        </w:rPr>
      </w:pPr>
    </w:p>
    <w:p w:rsidR="00D32EC2" w:rsidRPr="00104060" w:rsidRDefault="00D32EC2" w:rsidP="00104060">
      <w:pPr>
        <w:spacing w:after="0"/>
        <w:jc w:val="both"/>
        <w:rPr>
          <w:lang w:val="en-US"/>
        </w:rPr>
      </w:pPr>
    </w:p>
    <w:p w:rsidR="00104060" w:rsidRPr="00104060" w:rsidRDefault="00104060" w:rsidP="00104060">
      <w:pPr>
        <w:spacing w:after="0"/>
        <w:jc w:val="both"/>
        <w:rPr>
          <w:lang w:val="en-US"/>
        </w:rPr>
      </w:pPr>
      <w:r w:rsidRPr="00104060">
        <w:rPr>
          <w:lang w:val="en-US"/>
        </w:rPr>
        <w:t>DOI: 10.26356/PREDATORYPUBLISHING</w:t>
      </w:r>
    </w:p>
    <w:sectPr w:rsidR="00104060" w:rsidRPr="0010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2E" w:rsidRDefault="00FE072E" w:rsidP="00BB343C">
      <w:pPr>
        <w:spacing w:after="0" w:line="240" w:lineRule="auto"/>
      </w:pPr>
      <w:r>
        <w:separator/>
      </w:r>
    </w:p>
  </w:endnote>
  <w:endnote w:type="continuationSeparator" w:id="0">
    <w:p w:rsidR="00FE072E" w:rsidRDefault="00FE072E" w:rsidP="00BB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Sans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San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2E" w:rsidRDefault="00FE072E" w:rsidP="00BB343C">
      <w:pPr>
        <w:spacing w:after="0" w:line="240" w:lineRule="auto"/>
      </w:pPr>
      <w:r>
        <w:separator/>
      </w:r>
    </w:p>
  </w:footnote>
  <w:footnote w:type="continuationSeparator" w:id="0">
    <w:p w:rsidR="00FE072E" w:rsidRDefault="00FE072E" w:rsidP="00BB343C">
      <w:pPr>
        <w:spacing w:after="0" w:line="240" w:lineRule="auto"/>
      </w:pPr>
      <w:r>
        <w:continuationSeparator/>
      </w:r>
    </w:p>
  </w:footnote>
  <w:footnote w:id="1">
    <w:p w:rsidR="00BB343C" w:rsidRDefault="00BB34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FiraSans-Light"/>
          <w:color w:val="6E6F71"/>
          <w:sz w:val="16"/>
          <w:szCs w:val="16"/>
        </w:rPr>
        <w:t>Вж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 </w:t>
      </w:r>
      <w:r>
        <w:rPr>
          <w:rFonts w:ascii="FiraSans-Light" w:hAnsi="FiraSans-Light" w:cs="FiraSans-Light"/>
          <w:color w:val="215E9F"/>
          <w:sz w:val="16"/>
          <w:szCs w:val="16"/>
        </w:rPr>
        <w:t xml:space="preserve">https://www.openaccessweek.org/theme/en </w:t>
      </w:r>
      <w:r>
        <w:rPr>
          <w:rFonts w:ascii="FiraSans-Light" w:hAnsi="FiraSans-Light" w:cs="FiraSans-Light"/>
          <w:color w:val="6E6F71"/>
          <w:sz w:val="16"/>
          <w:szCs w:val="16"/>
        </w:rPr>
        <w:t>(</w:t>
      </w:r>
      <w:r w:rsidR="005F52FF">
        <w:rPr>
          <w:rFonts w:cs="FiraSans-Light"/>
          <w:color w:val="6E6F71"/>
          <w:sz w:val="16"/>
          <w:szCs w:val="16"/>
        </w:rPr>
        <w:t xml:space="preserve">достъпено на </w:t>
      </w:r>
      <w:r>
        <w:rPr>
          <w:rFonts w:ascii="FiraSans-Light" w:hAnsi="FiraSans-Light" w:cs="FiraSans-Light"/>
          <w:color w:val="6E6F71"/>
          <w:sz w:val="16"/>
          <w:szCs w:val="16"/>
        </w:rPr>
        <w:t>27/09/2023)</w:t>
      </w:r>
    </w:p>
  </w:footnote>
  <w:footnote w:id="2">
    <w:p w:rsidR="00BB343C" w:rsidRDefault="00BB34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Directory of Open Access Journals: </w:t>
      </w:r>
      <w:r>
        <w:rPr>
          <w:rFonts w:ascii="FiraSans-Light" w:hAnsi="FiraSans-Light" w:cs="FiraSans-Light"/>
          <w:color w:val="215E9F"/>
          <w:sz w:val="16"/>
          <w:szCs w:val="16"/>
        </w:rPr>
        <w:t xml:space="preserve">https://doaj.org/ </w:t>
      </w:r>
      <w:r>
        <w:rPr>
          <w:rFonts w:ascii="FiraSans-Light" w:hAnsi="FiraSans-Light" w:cs="FiraSans-Light"/>
          <w:color w:val="6E6F71"/>
          <w:sz w:val="16"/>
          <w:szCs w:val="16"/>
        </w:rPr>
        <w:t>(27/09/2023)</w:t>
      </w:r>
    </w:p>
  </w:footnote>
  <w:footnote w:id="3">
    <w:p w:rsidR="00BB343C" w:rsidRDefault="00BB34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ALLEA (2021). </w:t>
      </w:r>
      <w:r>
        <w:rPr>
          <w:rFonts w:cs="FiraSans-Light"/>
          <w:color w:val="6E6F71"/>
          <w:sz w:val="16"/>
          <w:szCs w:val="16"/>
        </w:rPr>
        <w:t>Изявление относно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 “</w:t>
      </w:r>
      <w:r>
        <w:rPr>
          <w:rFonts w:cs="FiraSans-Light"/>
          <w:color w:val="6E6F71"/>
          <w:sz w:val="16"/>
          <w:szCs w:val="16"/>
        </w:rPr>
        <w:t>Неравноспоставеността при отворения достъп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”. </w:t>
      </w:r>
      <w:r>
        <w:rPr>
          <w:rFonts w:ascii="FiraSans-Light" w:hAnsi="FiraSans-Light" w:cs="FiraSans-Light"/>
          <w:color w:val="215E9F"/>
          <w:sz w:val="16"/>
          <w:szCs w:val="16"/>
        </w:rPr>
        <w:t>https://allea.org/portfolio-item/equity-in-open-access/</w:t>
      </w:r>
    </w:p>
  </w:footnote>
  <w:footnote w:id="4">
    <w:p w:rsidR="00BB343C" w:rsidRDefault="00BB343C" w:rsidP="00F97EC2">
      <w:pPr>
        <w:autoSpaceDE w:val="0"/>
        <w:autoSpaceDN w:val="0"/>
        <w:adjustRightInd w:val="0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ALLEA (2018). </w:t>
      </w:r>
      <w:r>
        <w:rPr>
          <w:rFonts w:cs="FiraSans-Light"/>
          <w:color w:val="6E6F71"/>
          <w:sz w:val="16"/>
          <w:szCs w:val="16"/>
        </w:rPr>
        <w:t>Доклад относно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 “</w:t>
      </w:r>
      <w:r>
        <w:rPr>
          <w:rFonts w:cs="FiraSans-Light"/>
          <w:color w:val="6E6F71"/>
          <w:sz w:val="16"/>
          <w:szCs w:val="16"/>
        </w:rPr>
        <w:t>Ет</w:t>
      </w:r>
      <w:r w:rsidR="00F97EC2">
        <w:rPr>
          <w:rFonts w:cs="FiraSans-Light"/>
          <w:color w:val="6E6F71"/>
          <w:sz w:val="16"/>
          <w:szCs w:val="16"/>
        </w:rPr>
        <w:t>и</w:t>
      </w:r>
      <w:r>
        <w:rPr>
          <w:rFonts w:cs="FiraSans-Light"/>
          <w:color w:val="6E6F71"/>
          <w:sz w:val="16"/>
          <w:szCs w:val="16"/>
        </w:rPr>
        <w:t>чните аспекти на отворения достъп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: </w:t>
      </w:r>
      <w:r w:rsidR="00F97EC2">
        <w:rPr>
          <w:rFonts w:cs="FiraSans-Light"/>
          <w:color w:val="6E6F71"/>
          <w:sz w:val="16"/>
          <w:szCs w:val="16"/>
        </w:rPr>
        <w:t>един криволичещ път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”. </w:t>
      </w:r>
      <w:r>
        <w:rPr>
          <w:rFonts w:ascii="FiraSans-Light" w:hAnsi="FiraSans-Light" w:cs="FiraSans-Light"/>
          <w:color w:val="215E9F"/>
          <w:sz w:val="16"/>
          <w:szCs w:val="16"/>
        </w:rPr>
        <w:t>https://www.allea.org/wp-content/uploads/2018/12/Ethical-Aspects-of-Open-Access-Report.pdf</w:t>
      </w:r>
    </w:p>
  </w:footnote>
  <w:footnote w:id="5">
    <w:p w:rsidR="00F97EC2" w:rsidRDefault="00F97EC2" w:rsidP="00F97EC2">
      <w:pPr>
        <w:autoSpaceDE w:val="0"/>
        <w:autoSpaceDN w:val="0"/>
        <w:adjustRightInd w:val="0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ALLEA (2022). </w:t>
      </w:r>
      <w:r>
        <w:rPr>
          <w:rFonts w:cs="FiraSans-Light"/>
          <w:color w:val="6E6F71"/>
          <w:sz w:val="16"/>
          <w:szCs w:val="16"/>
        </w:rPr>
        <w:t>Изявление относно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 “</w:t>
      </w:r>
      <w:r>
        <w:rPr>
          <w:rFonts w:cs="FiraSans-Light"/>
          <w:color w:val="6E6F71"/>
          <w:sz w:val="16"/>
          <w:szCs w:val="16"/>
        </w:rPr>
        <w:t>Публикуването с отворен достъп при „Големите сделки“ и новите авторски права“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. </w:t>
      </w:r>
      <w:r>
        <w:rPr>
          <w:rFonts w:ascii="FiraSans-Light" w:hAnsi="FiraSans-Light" w:cs="FiraSans-Light"/>
          <w:color w:val="215E9F"/>
          <w:sz w:val="16"/>
          <w:szCs w:val="16"/>
        </w:rPr>
        <w:t>https://allea.org/portfolio-item/allea-statement-on-open-access-publication-under-big-deals-and-the-new-copyright-rules/</w:t>
      </w:r>
    </w:p>
  </w:footnote>
  <w:footnote w:id="6">
    <w:p w:rsidR="00F97EC2" w:rsidRDefault="00F97EC2" w:rsidP="00F97EC2">
      <w:pPr>
        <w:autoSpaceDE w:val="0"/>
        <w:autoSpaceDN w:val="0"/>
        <w:adjustRightInd w:val="0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rFonts w:ascii="FiraSans-Light" w:hAnsi="FiraSans-Light" w:cs="FiraSans-Light"/>
          <w:color w:val="6E6F71"/>
          <w:sz w:val="16"/>
          <w:szCs w:val="16"/>
        </w:rPr>
        <w:t>Taylor, G.A. (2021). “</w:t>
      </w:r>
      <w:r>
        <w:rPr>
          <w:rFonts w:cs="FiraSans-Light"/>
          <w:color w:val="6E6F71"/>
          <w:sz w:val="16"/>
          <w:szCs w:val="16"/>
        </w:rPr>
        <w:t>Хищническите списания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: </w:t>
      </w:r>
      <w:r>
        <w:rPr>
          <w:rFonts w:cs="FiraSans-Light"/>
          <w:color w:val="6E6F71"/>
          <w:sz w:val="16"/>
          <w:szCs w:val="16"/>
        </w:rPr>
        <w:t>една различна пандемия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”. </w:t>
      </w:r>
      <w:r>
        <w:rPr>
          <w:rFonts w:cs="FiraSans-Light"/>
          <w:color w:val="6E6F71"/>
          <w:sz w:val="16"/>
          <w:szCs w:val="16"/>
        </w:rPr>
        <w:t>Педиатрична радиология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 51, 516–518. </w:t>
      </w:r>
      <w:r>
        <w:rPr>
          <w:rFonts w:ascii="FiraSans-Light" w:hAnsi="FiraSans-Light" w:cs="FiraSans-Light"/>
          <w:color w:val="215E9F"/>
          <w:sz w:val="16"/>
          <w:szCs w:val="16"/>
        </w:rPr>
        <w:t>https://doi.org/10.1007/s00247-020-04918-4</w:t>
      </w:r>
    </w:p>
  </w:footnote>
  <w:footnote w:id="7">
    <w:p w:rsidR="00432B56" w:rsidRDefault="00432B56" w:rsidP="00432B56">
      <w:pPr>
        <w:autoSpaceDE w:val="0"/>
        <w:autoSpaceDN w:val="0"/>
        <w:adjustRightInd w:val="0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rFonts w:cs="FiraSans-Light"/>
          <w:color w:val="6E6F71"/>
          <w:sz w:val="16"/>
          <w:szCs w:val="16"/>
        </w:rPr>
        <w:t>Международната консенсусна дефиниция на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 </w:t>
      </w:r>
      <w:proofErr w:type="spellStart"/>
      <w:r w:rsidR="005F52FF">
        <w:rPr>
          <w:rFonts w:cs="FiraSans-Light"/>
          <w:color w:val="6E6F71"/>
          <w:sz w:val="16"/>
          <w:szCs w:val="16"/>
          <w:lang w:val="en-US"/>
        </w:rPr>
        <w:t>Grudniewicz</w:t>
      </w:r>
      <w:proofErr w:type="spellEnd"/>
      <w:r>
        <w:rPr>
          <w:rFonts w:ascii="FiraSans-Light" w:hAnsi="FiraSans-Light" w:cs="FiraSans-Light"/>
          <w:color w:val="6E6F71"/>
          <w:sz w:val="16"/>
          <w:szCs w:val="16"/>
        </w:rPr>
        <w:t xml:space="preserve"> </w:t>
      </w:r>
      <w:r>
        <w:rPr>
          <w:rFonts w:cs="FiraSans-Light"/>
          <w:color w:val="6E6F71"/>
          <w:sz w:val="16"/>
          <w:szCs w:val="16"/>
        </w:rPr>
        <w:t>и др.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 (2019). “</w:t>
      </w:r>
      <w:r>
        <w:rPr>
          <w:rFonts w:cs="FiraSans-Light"/>
          <w:color w:val="6E6F71"/>
          <w:sz w:val="16"/>
          <w:szCs w:val="16"/>
        </w:rPr>
        <w:t>Хищнически списания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: </w:t>
      </w:r>
      <w:r>
        <w:rPr>
          <w:rFonts w:cs="FiraSans-Light"/>
          <w:color w:val="6E6F71"/>
          <w:sz w:val="16"/>
          <w:szCs w:val="16"/>
        </w:rPr>
        <w:t>няма дефиниция, няма защита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”. Nature 576, 210-212. </w:t>
      </w:r>
      <w:r>
        <w:rPr>
          <w:rFonts w:ascii="FiraSans-Light" w:hAnsi="FiraSans-Light" w:cs="FiraSans-Light"/>
          <w:color w:val="215E9F"/>
          <w:sz w:val="16"/>
          <w:szCs w:val="16"/>
        </w:rPr>
        <w:t>https://doi.org/10.1038/d41586-019-03759-y</w:t>
      </w:r>
    </w:p>
  </w:footnote>
  <w:footnote w:id="8">
    <w:p w:rsidR="00432B56" w:rsidRDefault="00432B56" w:rsidP="00432B56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215E9F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FiraSans-Light" w:hAnsi="FiraSans-Light" w:cs="FiraSans-Light"/>
          <w:color w:val="6E6F71"/>
          <w:sz w:val="16"/>
          <w:szCs w:val="16"/>
        </w:rPr>
        <w:t>InterAcademy Partnership (2022). “</w:t>
      </w:r>
      <w:r>
        <w:rPr>
          <w:rFonts w:cs="FiraSans-Light"/>
          <w:color w:val="6E6F71"/>
          <w:sz w:val="16"/>
          <w:szCs w:val="16"/>
        </w:rPr>
        <w:t>Борбата с хищническите академични списания и конференции“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. </w:t>
      </w:r>
      <w:r>
        <w:rPr>
          <w:rFonts w:ascii="FiraSans-Light" w:hAnsi="FiraSans-Light" w:cs="FiraSans-Light"/>
          <w:color w:val="215E9F"/>
          <w:sz w:val="16"/>
          <w:szCs w:val="16"/>
        </w:rPr>
        <w:t>https://www.</w:t>
      </w:r>
    </w:p>
    <w:p w:rsidR="00432B56" w:rsidRDefault="00432B56" w:rsidP="00432B56">
      <w:pPr>
        <w:pStyle w:val="FootnoteText"/>
      </w:pPr>
      <w:r>
        <w:rPr>
          <w:rFonts w:ascii="FiraSans-Light" w:hAnsi="FiraSans-Light" w:cs="FiraSans-Light"/>
          <w:color w:val="215E9F"/>
          <w:sz w:val="16"/>
          <w:szCs w:val="16"/>
        </w:rPr>
        <w:t>interacademies.org/project/predatorypublishing</w:t>
      </w:r>
    </w:p>
  </w:footnote>
  <w:footnote w:id="9">
    <w:p w:rsidR="00F4183B" w:rsidRDefault="00F4183B" w:rsidP="00F4183B">
      <w:pPr>
        <w:autoSpaceDE w:val="0"/>
        <w:autoSpaceDN w:val="0"/>
        <w:adjustRightInd w:val="0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rFonts w:ascii="FiraSans-Light" w:hAnsi="FiraSans-Light" w:cs="FiraSans-Light"/>
          <w:color w:val="6E6F71"/>
          <w:sz w:val="16"/>
          <w:szCs w:val="16"/>
        </w:rPr>
        <w:t>ALLEA (2023). “</w:t>
      </w:r>
      <w:r>
        <w:rPr>
          <w:rFonts w:cs="FiraSans-Light"/>
          <w:color w:val="6E6F71"/>
          <w:sz w:val="16"/>
          <w:szCs w:val="16"/>
        </w:rPr>
        <w:t>Европейски кодекс за научноизследователска почтеност – ревизирано издание 2023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”. </w:t>
      </w:r>
      <w:r>
        <w:rPr>
          <w:rFonts w:ascii="FiraSans-Light" w:hAnsi="FiraSans-Light" w:cs="FiraSans-Light"/>
          <w:color w:val="215E9F"/>
          <w:sz w:val="16"/>
          <w:szCs w:val="16"/>
        </w:rPr>
        <w:t>https://allea.org/wpcontent/uploads/2023/06/European-Code-of-Conduct-Revised-Edition-2023.pdf</w:t>
      </w:r>
    </w:p>
  </w:footnote>
  <w:footnote w:id="10">
    <w:p w:rsidR="000B61BD" w:rsidRDefault="000B61BD" w:rsidP="000B61BD">
      <w:pPr>
        <w:autoSpaceDE w:val="0"/>
        <w:autoSpaceDN w:val="0"/>
        <w:adjustRightInd w:val="0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Teixeira da Silva, J.A. </w:t>
      </w:r>
      <w:r>
        <w:rPr>
          <w:rFonts w:cs="FiraSans-Light"/>
          <w:color w:val="6E6F71"/>
          <w:sz w:val="16"/>
          <w:szCs w:val="16"/>
        </w:rPr>
        <w:t>и др.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 (2023). “</w:t>
      </w:r>
      <w:r>
        <w:rPr>
          <w:rFonts w:cs="FiraSans-Light"/>
          <w:color w:val="6E6F71"/>
          <w:sz w:val="16"/>
          <w:szCs w:val="16"/>
        </w:rPr>
        <w:t xml:space="preserve">Критерии за хищнически доклади на 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Cabells: </w:t>
      </w:r>
      <w:r>
        <w:rPr>
          <w:rFonts w:cs="FiraSans-Light"/>
          <w:color w:val="6E6F71"/>
          <w:sz w:val="16"/>
          <w:szCs w:val="16"/>
        </w:rPr>
        <w:t>оценяване и предлагани промени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”. </w:t>
      </w:r>
      <w:r>
        <w:rPr>
          <w:rFonts w:cs="FiraSans-Light"/>
          <w:color w:val="6E6F71"/>
          <w:sz w:val="16"/>
          <w:szCs w:val="16"/>
        </w:rPr>
        <w:t>Списание за академичното библиотекознание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 49, 102659. </w:t>
      </w:r>
      <w:r>
        <w:rPr>
          <w:rFonts w:ascii="FiraSans-Light" w:hAnsi="FiraSans-Light" w:cs="FiraSans-Light"/>
          <w:color w:val="215E9F"/>
          <w:sz w:val="16"/>
          <w:szCs w:val="16"/>
        </w:rPr>
        <w:t>https://doi.org/10.1016/j.acalib.2022.102659</w:t>
      </w:r>
    </w:p>
  </w:footnote>
  <w:footnote w:id="11">
    <w:p w:rsidR="00555B6B" w:rsidRDefault="00555B6B" w:rsidP="00555B6B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215E9F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55B6B">
        <w:rPr>
          <w:rFonts w:cs="FiraSans-Light"/>
          <w:color w:val="6E6F71"/>
          <w:sz w:val="16"/>
          <w:szCs w:val="16"/>
        </w:rPr>
        <w:t>Един пример  е</w:t>
      </w:r>
      <w:r>
        <w:t xml:space="preserve"> </w:t>
      </w:r>
      <w:r w:rsidRPr="00555B6B">
        <w:rPr>
          <w:rFonts w:cs="FiraSans-Light"/>
          <w:color w:val="6E6F71"/>
          <w:sz w:val="16"/>
          <w:szCs w:val="16"/>
        </w:rPr>
        <w:t xml:space="preserve">Норвежкият регистър на научните списания, </w:t>
      </w:r>
      <w:r>
        <w:rPr>
          <w:rFonts w:cs="FiraSans-Light"/>
          <w:color w:val="6E6F71"/>
          <w:sz w:val="16"/>
          <w:szCs w:val="16"/>
        </w:rPr>
        <w:t xml:space="preserve">поредици </w:t>
      </w:r>
      <w:r w:rsidRPr="00555B6B">
        <w:rPr>
          <w:rFonts w:cs="FiraSans-Light"/>
          <w:color w:val="6E6F71"/>
          <w:sz w:val="16"/>
          <w:szCs w:val="16"/>
        </w:rPr>
        <w:t>и издателства: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 </w:t>
      </w:r>
      <w:r>
        <w:rPr>
          <w:rFonts w:ascii="FiraSans-Light" w:hAnsi="FiraSans-Light" w:cs="FiraSans-Light"/>
          <w:color w:val="215E9F"/>
          <w:sz w:val="16"/>
          <w:szCs w:val="16"/>
        </w:rPr>
        <w:t>https://kanalregister.hkdir.no/</w:t>
      </w:r>
    </w:p>
    <w:p w:rsidR="00555B6B" w:rsidRPr="00555B6B" w:rsidRDefault="00555B6B" w:rsidP="00555B6B">
      <w:pPr>
        <w:pStyle w:val="FootnoteText"/>
        <w:rPr>
          <w:lang w:val="en-US"/>
        </w:rPr>
      </w:pPr>
      <w:r>
        <w:rPr>
          <w:rFonts w:ascii="FiraSans-Light" w:hAnsi="FiraSans-Light" w:cs="FiraSans-Light"/>
          <w:color w:val="215E9F"/>
          <w:sz w:val="16"/>
          <w:szCs w:val="16"/>
        </w:rPr>
        <w:t xml:space="preserve">publiseringskanaler/Forside.action?request_locale=en </w:t>
      </w:r>
      <w:r>
        <w:rPr>
          <w:rFonts w:ascii="FiraSans-Light" w:hAnsi="FiraSans-Light" w:cs="FiraSans-Light"/>
          <w:color w:val="6E6F71"/>
          <w:sz w:val="16"/>
          <w:szCs w:val="16"/>
        </w:rPr>
        <w:t>(27/09/2023)</w:t>
      </w:r>
    </w:p>
  </w:footnote>
  <w:footnote w:id="12">
    <w:p w:rsidR="00D2568B" w:rsidRDefault="00D2568B" w:rsidP="00D2568B">
      <w:pPr>
        <w:autoSpaceDE w:val="0"/>
        <w:autoSpaceDN w:val="0"/>
        <w:adjustRightInd w:val="0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Shamseer, L., </w:t>
      </w:r>
      <w:r>
        <w:rPr>
          <w:rFonts w:cs="FiraSans-Light"/>
          <w:color w:val="6E6F71"/>
          <w:sz w:val="16"/>
          <w:szCs w:val="16"/>
        </w:rPr>
        <w:t>и др.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 (2017). “</w:t>
      </w:r>
      <w:r>
        <w:rPr>
          <w:rFonts w:cs="FiraSans-Light"/>
          <w:color w:val="6E6F71"/>
          <w:sz w:val="16"/>
          <w:szCs w:val="16"/>
        </w:rPr>
        <w:t>Потенциални хищнически и легитимни биомедицински списания: можете ли да направите разликата? Междусекторно сравнение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”. BMC Medicine. 15, 28. </w:t>
      </w:r>
      <w:r>
        <w:rPr>
          <w:rFonts w:ascii="FiraSans-Light" w:hAnsi="FiraSans-Light" w:cs="FiraSans-Light"/>
          <w:color w:val="215E9F"/>
          <w:sz w:val="16"/>
          <w:szCs w:val="16"/>
        </w:rPr>
        <w:t>https://doi.org/10.1186/s12916-017-0785-9</w:t>
      </w:r>
    </w:p>
  </w:footnote>
  <w:footnote w:id="13">
    <w:p w:rsidR="00D2568B" w:rsidRDefault="00D2568B" w:rsidP="00D2568B">
      <w:pPr>
        <w:autoSpaceDE w:val="0"/>
        <w:autoSpaceDN w:val="0"/>
        <w:adjustRightInd w:val="0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D2568B">
        <w:rPr>
          <w:rFonts w:cs="FiraSans-Light"/>
          <w:color w:val="6E6F71"/>
          <w:sz w:val="16"/>
          <w:szCs w:val="16"/>
        </w:rPr>
        <w:t>За повече информация относно запазването на авторски права, вж. Стратегията за запазване на авторски права План S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: </w:t>
      </w:r>
      <w:r>
        <w:rPr>
          <w:rFonts w:ascii="FiraSans-Light" w:hAnsi="FiraSans-Light" w:cs="FiraSans-Light"/>
          <w:color w:val="215E9F"/>
          <w:sz w:val="16"/>
          <w:szCs w:val="16"/>
        </w:rPr>
        <w:t xml:space="preserve">https://www.coalition-s.org/rights-retention-strategy/ </w:t>
      </w:r>
      <w:r>
        <w:rPr>
          <w:rFonts w:ascii="FiraSans-Light" w:hAnsi="FiraSans-Light" w:cs="FiraSans-Light"/>
          <w:color w:val="6E6F71"/>
          <w:sz w:val="16"/>
          <w:szCs w:val="16"/>
        </w:rPr>
        <w:t>(16/10/2023).</w:t>
      </w:r>
    </w:p>
  </w:footnote>
  <w:footnote w:id="14">
    <w:p w:rsidR="00D2568B" w:rsidRDefault="00D2568B" w:rsidP="00D2568B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215E9F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ALLEA (2022). </w:t>
      </w:r>
      <w:r>
        <w:rPr>
          <w:rFonts w:cs="FiraSans-Light"/>
          <w:color w:val="6E6F71"/>
          <w:sz w:val="16"/>
          <w:szCs w:val="16"/>
        </w:rPr>
        <w:t>Изявление относно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 “</w:t>
      </w:r>
      <w:r>
        <w:rPr>
          <w:rFonts w:cs="FiraSans-Light"/>
          <w:color w:val="6E6F71"/>
          <w:sz w:val="16"/>
          <w:szCs w:val="16"/>
        </w:rPr>
        <w:t>Реформиране на научното оценяване в европейските академии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”. </w:t>
      </w:r>
      <w:r>
        <w:rPr>
          <w:rFonts w:ascii="FiraSans-Light" w:hAnsi="FiraSans-Light" w:cs="FiraSans-Light"/>
          <w:color w:val="215E9F"/>
          <w:sz w:val="16"/>
          <w:szCs w:val="16"/>
        </w:rPr>
        <w:t>https://allea.org/</w:t>
      </w:r>
    </w:p>
    <w:p w:rsidR="00D2568B" w:rsidRDefault="00D2568B" w:rsidP="00D2568B">
      <w:pPr>
        <w:pStyle w:val="FootnoteText"/>
      </w:pPr>
      <w:r>
        <w:rPr>
          <w:rFonts w:ascii="FiraSans-Light" w:hAnsi="FiraSans-Light" w:cs="FiraSans-Light"/>
          <w:color w:val="215E9F"/>
          <w:sz w:val="16"/>
          <w:szCs w:val="16"/>
        </w:rPr>
        <w:t>portfolio-item/allea-statement-on-reforming-research-assessment-within-the-european-academies/</w:t>
      </w:r>
    </w:p>
  </w:footnote>
  <w:footnote w:id="15">
    <w:p w:rsidR="00BA46EC" w:rsidRDefault="00BA46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A46EC">
        <w:rPr>
          <w:rFonts w:ascii="FiraSans-Light" w:hAnsi="FiraSans-Light" w:cs="FiraSans-Light"/>
          <w:color w:val="6E6F71"/>
          <w:sz w:val="16"/>
          <w:szCs w:val="16"/>
        </w:rPr>
        <w:t>Вж.</w:t>
      </w:r>
      <w:r>
        <w:t xml:space="preserve"> </w:t>
      </w:r>
      <w:r>
        <w:rPr>
          <w:rFonts w:ascii="FiraSans-Light" w:hAnsi="FiraSans-Light" w:cs="FiraSans-Light"/>
          <w:color w:val="215E9F"/>
          <w:sz w:val="16"/>
          <w:szCs w:val="16"/>
        </w:rPr>
        <w:t xml:space="preserve">https://coara.eu/agreement/the-agreement-full-text/ </w:t>
      </w:r>
      <w:r>
        <w:rPr>
          <w:rFonts w:ascii="FiraSans-Light" w:hAnsi="FiraSans-Light" w:cs="FiraSans-Light"/>
          <w:color w:val="6E6F71"/>
          <w:sz w:val="16"/>
          <w:szCs w:val="16"/>
        </w:rPr>
        <w:t>(27/09/2023)</w:t>
      </w:r>
    </w:p>
  </w:footnote>
  <w:footnote w:id="16">
    <w:p w:rsidR="00BA46EC" w:rsidRDefault="00BA46EC" w:rsidP="00BA46EC">
      <w:pPr>
        <w:autoSpaceDE w:val="0"/>
        <w:autoSpaceDN w:val="0"/>
        <w:adjustRightInd w:val="0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rFonts w:cs="FiraSans-Light"/>
          <w:color w:val="6E6F71"/>
          <w:sz w:val="16"/>
          <w:szCs w:val="16"/>
        </w:rPr>
        <w:t>Вж.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 </w:t>
      </w:r>
      <w:r>
        <w:rPr>
          <w:rFonts w:ascii="FiraSans-Light" w:hAnsi="FiraSans-Light" w:cs="FiraSans-Light"/>
          <w:color w:val="215E9F"/>
          <w:sz w:val="16"/>
          <w:szCs w:val="16"/>
        </w:rPr>
        <w:t xml:space="preserve">https://www.designresearchsociety.org/articles/the-future-of-design-studies-update </w:t>
      </w:r>
      <w:r>
        <w:rPr>
          <w:rFonts w:ascii="FiraSans-Light" w:hAnsi="FiraSans-Light" w:cs="FiraSans-Light"/>
          <w:color w:val="6E6F71"/>
          <w:sz w:val="16"/>
          <w:szCs w:val="16"/>
        </w:rPr>
        <w:t>(27/09/2023)</w:t>
      </w:r>
    </w:p>
  </w:footnote>
  <w:footnote w:id="17">
    <w:p w:rsidR="00BA46EC" w:rsidRDefault="00BA46EC" w:rsidP="00A30609">
      <w:pPr>
        <w:autoSpaceDE w:val="0"/>
        <w:autoSpaceDN w:val="0"/>
        <w:adjustRightInd w:val="0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Bosman, J., Frantsvåg, J.E., Kramer, B., Langlais, P-C., </w:t>
      </w:r>
      <w:r>
        <w:rPr>
          <w:rFonts w:cs="FiraSans-Light"/>
          <w:color w:val="6E6F71"/>
          <w:sz w:val="16"/>
          <w:szCs w:val="16"/>
        </w:rPr>
        <w:t>и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 Proudman, V. (2021). “</w:t>
      </w:r>
      <w:r w:rsidR="00A30609">
        <w:rPr>
          <w:rFonts w:cs="FiraSans-Light"/>
          <w:color w:val="6E6F71"/>
          <w:sz w:val="16"/>
          <w:szCs w:val="16"/>
        </w:rPr>
        <w:t>Изследване на списанията с Димантен отворен достъп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. </w:t>
      </w:r>
      <w:r>
        <w:rPr>
          <w:rFonts w:cs="FiraSans-Light"/>
          <w:color w:val="6E6F71"/>
          <w:sz w:val="16"/>
          <w:szCs w:val="16"/>
        </w:rPr>
        <w:t>Част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 1”.</w:t>
      </w:r>
      <w:r w:rsidR="00A30609">
        <w:rPr>
          <w:rFonts w:cs="FiraSans-Light"/>
          <w:color w:val="6E6F71"/>
          <w:sz w:val="16"/>
          <w:szCs w:val="16"/>
        </w:rPr>
        <w:t xml:space="preserve"> </w:t>
      </w:r>
      <w:r>
        <w:rPr>
          <w:rFonts w:ascii="FiraSans-Light" w:hAnsi="FiraSans-Light" w:cs="FiraSans-Light"/>
          <w:color w:val="215E9F"/>
          <w:sz w:val="16"/>
          <w:szCs w:val="16"/>
        </w:rPr>
        <w:t>https://www.scienceeurope.org/our-resources/oa-diamond-journals-study/</w:t>
      </w:r>
    </w:p>
  </w:footnote>
  <w:footnote w:id="18">
    <w:p w:rsidR="007831AA" w:rsidRDefault="007831AA" w:rsidP="007831AA">
      <w:pPr>
        <w:autoSpaceDE w:val="0"/>
        <w:autoSpaceDN w:val="0"/>
        <w:adjustRightInd w:val="0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rFonts w:cs="FiraSans-Light"/>
          <w:color w:val="6E6F71"/>
          <w:sz w:val="16"/>
          <w:szCs w:val="16"/>
        </w:rPr>
        <w:t>Съвет на ЕС</w:t>
      </w:r>
      <w:r>
        <w:rPr>
          <w:rFonts w:ascii="FiraSans-Light" w:hAnsi="FiraSans-Light" w:cs="FiraSans-Light"/>
          <w:color w:val="6E6F71"/>
          <w:sz w:val="16"/>
          <w:szCs w:val="16"/>
        </w:rPr>
        <w:t xml:space="preserve"> (2023). “</w:t>
      </w:r>
      <w:r>
        <w:rPr>
          <w:rFonts w:cs="FiraSans-Light"/>
          <w:color w:val="6E6F71"/>
          <w:sz w:val="16"/>
          <w:szCs w:val="16"/>
        </w:rPr>
        <w:t xml:space="preserve">Висококачествено, прозрачно, отворено, надеждно и равнопоставено научно издаване – Заключения на Съвета“ </w:t>
      </w:r>
      <w:r>
        <w:rPr>
          <w:rFonts w:ascii="FiraSans-Light" w:hAnsi="FiraSans-Light" w:cs="FiraSans-Light"/>
          <w:color w:val="215E9F"/>
          <w:sz w:val="16"/>
          <w:szCs w:val="16"/>
        </w:rPr>
        <w:t>https://data.consilium.europa.eu/doc/document/ST-9616-2023-INIT/en/pdf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60"/>
    <w:rsid w:val="00043269"/>
    <w:rsid w:val="000B61BD"/>
    <w:rsid w:val="00104060"/>
    <w:rsid w:val="00106703"/>
    <w:rsid w:val="00141F3E"/>
    <w:rsid w:val="00197801"/>
    <w:rsid w:val="00227D95"/>
    <w:rsid w:val="0025495D"/>
    <w:rsid w:val="00276431"/>
    <w:rsid w:val="002A6D85"/>
    <w:rsid w:val="002C2CB1"/>
    <w:rsid w:val="003166A5"/>
    <w:rsid w:val="00326E4D"/>
    <w:rsid w:val="004231BE"/>
    <w:rsid w:val="00432B56"/>
    <w:rsid w:val="00555B6B"/>
    <w:rsid w:val="005F52FF"/>
    <w:rsid w:val="00711572"/>
    <w:rsid w:val="00730056"/>
    <w:rsid w:val="00732CD0"/>
    <w:rsid w:val="007831AA"/>
    <w:rsid w:val="007F3E51"/>
    <w:rsid w:val="00946686"/>
    <w:rsid w:val="009641B0"/>
    <w:rsid w:val="00971839"/>
    <w:rsid w:val="00A30609"/>
    <w:rsid w:val="00A4354A"/>
    <w:rsid w:val="00B27BAD"/>
    <w:rsid w:val="00BA46EC"/>
    <w:rsid w:val="00BB343C"/>
    <w:rsid w:val="00D2568B"/>
    <w:rsid w:val="00D32EC2"/>
    <w:rsid w:val="00DC1BF0"/>
    <w:rsid w:val="00F4183B"/>
    <w:rsid w:val="00F767BA"/>
    <w:rsid w:val="00F97EC2"/>
    <w:rsid w:val="00FE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ACC1D-B3DF-42BC-8C06-98FCCC0C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06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34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4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34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lea.org/research-integrity-and-research-ethic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5AA4-41D2-4CA6-AF26-78891D98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Tomina</dc:creator>
  <cp:keywords/>
  <dc:description/>
  <cp:lastModifiedBy>Velina</cp:lastModifiedBy>
  <cp:revision>2</cp:revision>
  <dcterms:created xsi:type="dcterms:W3CDTF">2023-11-16T13:49:00Z</dcterms:created>
  <dcterms:modified xsi:type="dcterms:W3CDTF">2023-11-16T13:49:00Z</dcterms:modified>
</cp:coreProperties>
</file>