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FA2" w:rsidRDefault="003B5FA2" w:rsidP="003B5FA2">
      <w:pPr>
        <w:jc w:val="left"/>
        <w:rPr>
          <w:b/>
          <w:sz w:val="24"/>
          <w:szCs w:val="24"/>
        </w:rPr>
      </w:pPr>
      <w:r>
        <w:rPr>
          <w:b/>
          <w:sz w:val="24"/>
          <w:szCs w:val="24"/>
        </w:rPr>
        <w:t>До министъра на образованието и науката</w:t>
      </w:r>
    </w:p>
    <w:p w:rsidR="003B5FA2" w:rsidRDefault="003B5FA2" w:rsidP="003B5FA2">
      <w:pPr>
        <w:jc w:val="left"/>
        <w:rPr>
          <w:b/>
          <w:sz w:val="24"/>
          <w:szCs w:val="24"/>
        </w:rPr>
      </w:pPr>
      <w:r>
        <w:rPr>
          <w:b/>
          <w:sz w:val="24"/>
          <w:szCs w:val="24"/>
        </w:rPr>
        <w:t>Господин Красимир Вълчев</w:t>
      </w:r>
    </w:p>
    <w:p w:rsidR="003B5FA2" w:rsidRDefault="003B5FA2" w:rsidP="003B5FA2">
      <w:pPr>
        <w:jc w:val="left"/>
        <w:rPr>
          <w:b/>
          <w:sz w:val="24"/>
          <w:szCs w:val="24"/>
        </w:rPr>
      </w:pPr>
      <w:r>
        <w:rPr>
          <w:b/>
          <w:sz w:val="24"/>
          <w:szCs w:val="24"/>
        </w:rPr>
        <w:t xml:space="preserve">      </w:t>
      </w:r>
    </w:p>
    <w:p w:rsidR="003B5FA2" w:rsidRDefault="003B5FA2" w:rsidP="003B5FA2">
      <w:pPr>
        <w:jc w:val="left"/>
        <w:rPr>
          <w:b/>
          <w:sz w:val="24"/>
          <w:szCs w:val="24"/>
        </w:rPr>
      </w:pPr>
      <w:r>
        <w:rPr>
          <w:b/>
          <w:sz w:val="24"/>
          <w:szCs w:val="24"/>
        </w:rPr>
        <w:t xml:space="preserve">             </w:t>
      </w:r>
      <w:r>
        <w:rPr>
          <w:sz w:val="24"/>
          <w:szCs w:val="24"/>
        </w:rPr>
        <w:t xml:space="preserve">             </w:t>
      </w:r>
      <w:r>
        <w:rPr>
          <w:b/>
          <w:sz w:val="24"/>
          <w:szCs w:val="24"/>
        </w:rPr>
        <w:t xml:space="preserve">ПИСМО-ПОДПИСКА </w:t>
      </w:r>
    </w:p>
    <w:p w:rsidR="003B5FA2" w:rsidRDefault="003B5FA2" w:rsidP="003B5FA2">
      <w:pPr>
        <w:jc w:val="left"/>
        <w:rPr>
          <w:sz w:val="24"/>
          <w:szCs w:val="24"/>
        </w:rPr>
      </w:pPr>
    </w:p>
    <w:p w:rsidR="003B5FA2" w:rsidRDefault="003B5FA2" w:rsidP="003B5FA2">
      <w:pPr>
        <w:jc w:val="left"/>
        <w:rPr>
          <w:i/>
          <w:sz w:val="24"/>
          <w:szCs w:val="24"/>
        </w:rPr>
      </w:pPr>
    </w:p>
    <w:p w:rsidR="003B5FA2" w:rsidRDefault="003B5FA2" w:rsidP="003B5FA2">
      <w:pPr>
        <w:jc w:val="left"/>
        <w:rPr>
          <w:sz w:val="24"/>
          <w:szCs w:val="24"/>
        </w:rPr>
      </w:pPr>
    </w:p>
    <w:p w:rsidR="003B5FA2" w:rsidRDefault="003B5FA2" w:rsidP="003B5FA2">
      <w:pPr>
        <w:jc w:val="left"/>
        <w:rPr>
          <w:sz w:val="24"/>
          <w:szCs w:val="24"/>
        </w:rPr>
      </w:pPr>
      <w:r>
        <w:rPr>
          <w:sz w:val="24"/>
          <w:szCs w:val="24"/>
        </w:rPr>
        <w:t xml:space="preserve">                Уважаеми господин министър,         </w:t>
      </w:r>
    </w:p>
    <w:p w:rsidR="003B5FA2" w:rsidRDefault="003B5FA2" w:rsidP="003B5FA2">
      <w:pPr>
        <w:ind w:left="799"/>
        <w:jc w:val="left"/>
        <w:rPr>
          <w:sz w:val="24"/>
          <w:szCs w:val="24"/>
        </w:rPr>
      </w:pPr>
    </w:p>
    <w:p w:rsidR="003B5FA2" w:rsidRDefault="003B5FA2" w:rsidP="003B5FA2">
      <w:pPr>
        <w:ind w:left="799"/>
        <w:jc w:val="left"/>
        <w:rPr>
          <w:sz w:val="24"/>
          <w:szCs w:val="24"/>
        </w:rPr>
      </w:pPr>
    </w:p>
    <w:p w:rsidR="003B5FA2" w:rsidRDefault="003B5FA2" w:rsidP="00316CD5">
      <w:pPr>
        <w:ind w:left="799"/>
        <w:rPr>
          <w:sz w:val="24"/>
          <w:szCs w:val="24"/>
        </w:rPr>
      </w:pPr>
      <w:r>
        <w:rPr>
          <w:sz w:val="24"/>
          <w:szCs w:val="24"/>
        </w:rPr>
        <w:t xml:space="preserve">      </w:t>
      </w:r>
    </w:p>
    <w:p w:rsidR="003B5FA2" w:rsidRDefault="003B5FA2" w:rsidP="00316CD5">
      <w:pPr>
        <w:rPr>
          <w:sz w:val="24"/>
          <w:szCs w:val="24"/>
        </w:rPr>
      </w:pPr>
      <w:r>
        <w:rPr>
          <w:sz w:val="24"/>
          <w:szCs w:val="24"/>
        </w:rPr>
        <w:t xml:space="preserve">  Обръщаме се към Вас с настоятелна молба да направите необходимото, </w:t>
      </w:r>
      <w:r>
        <w:rPr>
          <w:color w:val="000000"/>
          <w:sz w:val="24"/>
          <w:szCs w:val="24"/>
        </w:rPr>
        <w:t xml:space="preserve">за да бъде прекратено </w:t>
      </w:r>
      <w:r>
        <w:rPr>
          <w:sz w:val="24"/>
          <w:szCs w:val="24"/>
        </w:rPr>
        <w:t>преподаването на лъженауката хомеопатия под формата на “Технология на хомеопатични продукти”, като част от специалност “Технология на хомеопатичните и фитопродукти” (код 5240114) от професията “Химик-технолог“(код 524010),</w:t>
      </w:r>
      <w:r>
        <w:rPr>
          <w:color w:val="0070C0"/>
          <w:sz w:val="24"/>
          <w:szCs w:val="24"/>
        </w:rPr>
        <w:t xml:space="preserve"> </w:t>
      </w:r>
      <w:r>
        <w:rPr>
          <w:sz w:val="24"/>
          <w:szCs w:val="24"/>
        </w:rPr>
        <w:t>от професионално направление “Химични продукти и технологии”(код 524)</w:t>
      </w:r>
    </w:p>
    <w:p w:rsidR="003B5FA2" w:rsidRDefault="003B5FA2" w:rsidP="00316CD5">
      <w:pPr>
        <w:rPr>
          <w:sz w:val="24"/>
          <w:szCs w:val="24"/>
        </w:rPr>
      </w:pPr>
      <w:r>
        <w:rPr>
          <w:sz w:val="24"/>
          <w:szCs w:val="24"/>
        </w:rPr>
        <w:tab/>
        <w:t xml:space="preserve">Обучение по тази специалност, за съжаление, се осъществява в редица наши професионални гимназии. Лицензия за обучението по тази специалност има и един Център за професионално обучение. </w:t>
      </w:r>
    </w:p>
    <w:p w:rsidR="003B5FA2" w:rsidRDefault="003B5FA2" w:rsidP="00316CD5">
      <w:pPr>
        <w:rPr>
          <w:sz w:val="24"/>
          <w:szCs w:val="24"/>
        </w:rPr>
      </w:pPr>
      <w:r>
        <w:rPr>
          <w:sz w:val="24"/>
          <w:szCs w:val="24"/>
        </w:rPr>
        <w:t>Преподаването и държавните изпити по “Технология на хомеопатични и фитопродукти</w:t>
      </w:r>
      <w:r>
        <w:rPr>
          <w:color w:val="000000"/>
          <w:sz w:val="24"/>
          <w:szCs w:val="24"/>
        </w:rPr>
        <w:t xml:space="preserve">”, които се практикуват в професионалните гимназии предизвикват </w:t>
      </w:r>
      <w:r>
        <w:rPr>
          <w:sz w:val="24"/>
          <w:szCs w:val="24"/>
        </w:rPr>
        <w:t>чувството на дълбоко възмущение и срам за нашето средно образование. Запознаването със списъците на препоръчаната клю за подготовката на тези държавни изпити са предизвикателство към здравия разум, защото почти половината от заглавията в тях са  антинаучна хомеопатична литература, насочена само към пропагандата и рекламата на самолечението чрез хомеопатия.</w:t>
      </w:r>
    </w:p>
    <w:p w:rsidR="003B5FA2" w:rsidRDefault="003B5FA2" w:rsidP="00316CD5">
      <w:pPr>
        <w:rPr>
          <w:sz w:val="24"/>
          <w:szCs w:val="24"/>
        </w:rPr>
      </w:pPr>
      <w:r>
        <w:rPr>
          <w:color w:val="000000"/>
          <w:sz w:val="24"/>
          <w:szCs w:val="24"/>
        </w:rPr>
        <w:t xml:space="preserve"> Недопустимо е в днешно време подрастващите млади хора </w:t>
      </w:r>
      <w:r>
        <w:rPr>
          <w:sz w:val="24"/>
          <w:szCs w:val="24"/>
        </w:rPr>
        <w:t xml:space="preserve"> </w:t>
      </w:r>
      <w:r>
        <w:rPr>
          <w:color w:val="000000"/>
          <w:sz w:val="24"/>
          <w:szCs w:val="24"/>
        </w:rPr>
        <w:t xml:space="preserve">у нас да бъдат обучавани на една възникнала през 18 век фалшива „теория“ и лъжлива практика, каквато е лъженауката хомеопатия, изобличена отдавна от световната наука - медицина, химия, физика и биология. Едно от основните лъжливи твърдения, на които тя се основава е, че вещество, предизвикващо определени болестни симптоми, но разредено до такава степен, че  от него в препарата практически не остава нито една молекула, може да лекува заболявания с аналогични болестни симптоми. Многобройни и задълбочени научни изследвания от Европа, Америка, Австралия показват, че хомеопатичните препарати нямат лечебен ефект по-голям от този на ефекта плацебо.  </w:t>
      </w:r>
      <w:r>
        <w:rPr>
          <w:sz w:val="24"/>
          <w:szCs w:val="24"/>
        </w:rPr>
        <w:t xml:space="preserve">       </w:t>
      </w:r>
    </w:p>
    <w:p w:rsidR="003B5FA2" w:rsidRDefault="003B5FA2" w:rsidP="00316CD5">
      <w:pPr>
        <w:rPr>
          <w:sz w:val="24"/>
          <w:szCs w:val="24"/>
        </w:rPr>
      </w:pPr>
      <w:r>
        <w:rPr>
          <w:sz w:val="24"/>
          <w:szCs w:val="24"/>
        </w:rPr>
        <w:tab/>
        <w:t xml:space="preserve"> Препоръките на водещите научни медицински организации в света са да бъде прекратено обучението по лъженауката „хомеопатия“, да</w:t>
      </w:r>
      <w:bookmarkStart w:id="0" w:name="_GoBack"/>
      <w:bookmarkEnd w:id="0"/>
      <w:r>
        <w:rPr>
          <w:sz w:val="24"/>
          <w:szCs w:val="24"/>
        </w:rPr>
        <w:t xml:space="preserve"> се ограничи разпространението на </w:t>
      </w:r>
      <w:r>
        <w:rPr>
          <w:sz w:val="24"/>
          <w:szCs w:val="24"/>
        </w:rPr>
        <w:lastRenderedPageBreak/>
        <w:t xml:space="preserve">хомеопатичните продукти и да се води широка разяснителна работа сред населението за безсмислието и вредата от лечението с такива продукти.  </w:t>
      </w:r>
    </w:p>
    <w:p w:rsidR="003B5FA2" w:rsidRDefault="003B5FA2" w:rsidP="00316CD5">
      <w:pPr>
        <w:rPr>
          <w:sz w:val="24"/>
          <w:szCs w:val="24"/>
        </w:rPr>
      </w:pPr>
      <w:r>
        <w:rPr>
          <w:b/>
          <w:sz w:val="24"/>
          <w:szCs w:val="24"/>
        </w:rPr>
        <w:t xml:space="preserve"> През последните две години под влияние на подписките на учените от БАН срещу преподаването на хомеопатията в медицинските университети и по решения на Ректорските ръководства преподаването на хомеопатия в Медицинския университет-София, Медицинския университет-Пловдив и Медицинския университет - Плевен е прекратено</w:t>
      </w:r>
      <w:r>
        <w:rPr>
          <w:sz w:val="24"/>
          <w:szCs w:val="24"/>
        </w:rPr>
        <w:t xml:space="preserve">. </w:t>
      </w:r>
    </w:p>
    <w:p w:rsidR="003B5FA2" w:rsidRDefault="003B5FA2" w:rsidP="00316CD5">
      <w:pPr>
        <w:rPr>
          <w:sz w:val="24"/>
          <w:szCs w:val="24"/>
        </w:rPr>
      </w:pPr>
      <w:r>
        <w:rPr>
          <w:sz w:val="24"/>
          <w:szCs w:val="24"/>
        </w:rPr>
        <w:t xml:space="preserve"> В България пазарът на хомеопатични продукти е завладян практически изцяло от две европейски хомеопатични компании-производителки. Поради това професионалната реализация на завършилите специалност по хомеопатични технологии се свежда единствено до дистрибуция на хомеопатичните препарати, произведени от тези чуждестранни компании. </w:t>
      </w:r>
    </w:p>
    <w:p w:rsidR="003B5FA2" w:rsidRDefault="003B5FA2" w:rsidP="00316CD5">
      <w:pPr>
        <w:rPr>
          <w:b/>
          <w:sz w:val="24"/>
          <w:szCs w:val="24"/>
        </w:rPr>
      </w:pPr>
      <w:r>
        <w:rPr>
          <w:b/>
          <w:sz w:val="24"/>
          <w:szCs w:val="24"/>
        </w:rPr>
        <w:t xml:space="preserve"> Във все повече страни в света държавата се насочва към прекратяване на хомеопатичните практики и към ограничаване на продажбите на хомеопатични препарати като лечебни средства. </w:t>
      </w:r>
    </w:p>
    <w:p w:rsidR="003B5FA2" w:rsidRDefault="003B5FA2" w:rsidP="00316CD5">
      <w:pPr>
        <w:rPr>
          <w:sz w:val="24"/>
          <w:szCs w:val="24"/>
        </w:rPr>
      </w:pPr>
      <w:r>
        <w:rPr>
          <w:sz w:val="24"/>
          <w:szCs w:val="24"/>
        </w:rPr>
        <w:t>Във Франция през 2021 г. е прекратено реимбурсирането на хомеопатичните средства, възоснова на проучванията на френския Върховен орган за здравеопазване (HAS) . В него се прави изводът, че за хомеопатичните средства липсват доказателства за ефикасност: ”Тези лекарства не са научно доказани като достатъчно ефективни, за да оправдаят възстановяването на разходите.”</w:t>
      </w:r>
    </w:p>
    <w:p w:rsidR="003B5FA2" w:rsidRDefault="003B5FA2" w:rsidP="00316CD5">
      <w:pPr>
        <w:rPr>
          <w:sz w:val="24"/>
          <w:szCs w:val="24"/>
        </w:rPr>
      </w:pPr>
      <w:r>
        <w:rPr>
          <w:sz w:val="24"/>
          <w:szCs w:val="24"/>
        </w:rPr>
        <w:t>Под заглавието “Испания се насочва към забрана на псевдо терапиите в университетите и здравните центрове”  на 14.11.2018 г. вестник EL PAIS пише, че Правителството заявява, че “те влияят отрицателно на здравето, като удължават заболяванията, причиняват други такива или дори увеличават риска от смърт.” От Правителството е разработен план за борба с псевдотерапиите,  на първо място-хомеопатията, които нямат научни доказателства в подкрепа на твърденията си. Съгласно този план публичните и частни заведения, които включват псевдо-терапии, няма да могат да се наричат здравни центрове. В четвъртата част от плана се предвижда да се премахне всяка  професионална степен, която включва псевдотерапии, получавана в университетите в страната.</w:t>
      </w:r>
    </w:p>
    <w:p w:rsidR="003B5FA2" w:rsidRDefault="003B5FA2" w:rsidP="00316CD5">
      <w:pPr>
        <w:rPr>
          <w:sz w:val="24"/>
          <w:szCs w:val="24"/>
        </w:rPr>
      </w:pPr>
      <w:r>
        <w:rPr>
          <w:sz w:val="24"/>
          <w:szCs w:val="24"/>
        </w:rPr>
        <w:t>В статия на Ärzteblatt.de (Германия) “Договорите за хомеопатия - в забранителния списък”  се съобщава за прекратяване на договори за хомеопатия от октомври 2019 г.: “няма доказателства за тяхната конкретна полза”. “За медицинското обучение са необходими дефинирани и проверими учебни цели, които не могат да съществуват за хомеопатията, поради липса на научна основа”. Затова обучението по хомеопатия е заличено от регламента за обучение.</w:t>
      </w:r>
    </w:p>
    <w:p w:rsidR="003B5FA2" w:rsidRDefault="003B5FA2" w:rsidP="00316CD5">
      <w:pPr>
        <w:rPr>
          <w:sz w:val="24"/>
          <w:szCs w:val="24"/>
        </w:rPr>
      </w:pPr>
      <w:r>
        <w:rPr>
          <w:sz w:val="24"/>
          <w:szCs w:val="24"/>
        </w:rPr>
        <w:t xml:space="preserve"> Световната здравна организация (СЗО) на 02.11.2009 г. отправя предупреждение относно използването на хомеопатията, като заявява, че “има малко или никакви научни доказателства в подкрепа на практикуването й”. Изказва се и надеждата, че “чрез повишаване осведомеността за позициите на СЗО по отношение на хомеопатията, ще бъдат подкрепени хората, които заемат позиция срещу тези потенциално пагубни практики.” “Нуждаем се правителствата по целия свят да разпознаят опасностите от насърчаване на хомеопатията за животозастрашаващи заболявания”.                                </w:t>
      </w:r>
    </w:p>
    <w:p w:rsidR="003B5FA2" w:rsidRDefault="003B5FA2" w:rsidP="00316CD5">
      <w:pPr>
        <w:rPr>
          <w:sz w:val="24"/>
          <w:szCs w:val="24"/>
        </w:rPr>
      </w:pPr>
      <w:r>
        <w:rPr>
          <w:sz w:val="24"/>
          <w:szCs w:val="24"/>
        </w:rPr>
        <w:lastRenderedPageBreak/>
        <w:t xml:space="preserve">  Под заглавие “Имаме ли нужда от нови закони на Европейския съюз срещу хомеопатията ”Дойче веле” (DW) на 16.07. 2018 г. публикува репортаж за научна конференция на Euro Science Open Forum  от юли 2019 г. в Тулуза. Според учените, “хомеопатията е абсурдна и обикновенна измама” и “хомеопатията е най-абсурдното от всички алтернативни лечения”. Според представителя на Научния консултативен съвет на европейските академия EASAC, е констатирно, че “хомеопатичните компании изобщо не правят изследвания, а вземат печалбите и ги прибират в джоба.”</w:t>
      </w:r>
    </w:p>
    <w:p w:rsidR="003B5FA2" w:rsidRDefault="003B5FA2" w:rsidP="00316CD5">
      <w:pPr>
        <w:rPr>
          <w:color w:val="000000"/>
          <w:sz w:val="24"/>
          <w:szCs w:val="24"/>
        </w:rPr>
      </w:pPr>
      <w:r>
        <w:rPr>
          <w:b/>
          <w:sz w:val="24"/>
          <w:szCs w:val="24"/>
        </w:rPr>
        <w:t xml:space="preserve"> </w:t>
      </w:r>
      <w:r>
        <w:rPr>
          <w:sz w:val="24"/>
          <w:szCs w:val="24"/>
        </w:rPr>
        <w:t>От цитираните по-горе и многобройните представени в ПРИЛОЖЕНИЕТО документи следва, че има огромно количество убедителни доказателства за това, че хомеопатичното лечение няма никакъв здравен ефект, а “теориите” на лъженауката хомеопатия са многократно разобличени и опровергани от съвременната наука, на която днес човечеството дължи целия си напредък.</w:t>
      </w:r>
    </w:p>
    <w:p w:rsidR="003B5FA2" w:rsidRDefault="003B5FA2" w:rsidP="00316CD5">
      <w:pPr>
        <w:rPr>
          <w:b/>
          <w:color w:val="000000"/>
          <w:sz w:val="24"/>
          <w:szCs w:val="24"/>
        </w:rPr>
      </w:pPr>
      <w:r>
        <w:rPr>
          <w:color w:val="000000"/>
          <w:sz w:val="24"/>
          <w:szCs w:val="24"/>
        </w:rPr>
        <w:t xml:space="preserve">  </w:t>
      </w:r>
      <w:r>
        <w:rPr>
          <w:b/>
          <w:color w:val="000000"/>
          <w:sz w:val="24"/>
          <w:szCs w:val="24"/>
        </w:rPr>
        <w:t xml:space="preserve">Въз основа на горе казаното Ви молим да предприемете необходимите законови и процедурни действия за заличаване на обучението по “Технология на хомеопатичните продукти”, като част от обучението по “Технология на хомеопатичните и фитопродукти” в програмите за обучение  на „Химик-технолог“ в нашите професионални гимназии и центрове за професионално образование.  </w:t>
      </w:r>
    </w:p>
    <w:p w:rsidR="003B5FA2" w:rsidRDefault="003B5FA2" w:rsidP="00316CD5">
      <w:pPr>
        <w:rPr>
          <w:b/>
          <w:color w:val="000000"/>
          <w:sz w:val="24"/>
          <w:szCs w:val="24"/>
        </w:rPr>
      </w:pPr>
      <w:r>
        <w:rPr>
          <w:b/>
          <w:color w:val="000000"/>
          <w:sz w:val="24"/>
          <w:szCs w:val="24"/>
        </w:rPr>
        <w:t xml:space="preserve">   Тези Ваши действия биха допълнили удачно провежданите от Вас реформи в средното образование. </w:t>
      </w:r>
    </w:p>
    <w:p w:rsidR="003B5FA2" w:rsidRDefault="003B5FA2" w:rsidP="00316CD5">
      <w:pPr>
        <w:rPr>
          <w:color w:val="000000"/>
          <w:sz w:val="24"/>
          <w:szCs w:val="24"/>
        </w:rPr>
      </w:pPr>
      <w:r>
        <w:rPr>
          <w:color w:val="000000"/>
          <w:sz w:val="24"/>
          <w:szCs w:val="24"/>
        </w:rPr>
        <w:t xml:space="preserve">  Като ПРИЛОЖЕНИЕ към настоящето писмо Ви предаваме събрание от оригинални и преводни документи, на които в голяма степен се основава нашето писмо.  </w:t>
      </w:r>
    </w:p>
    <w:p w:rsidR="003B5FA2" w:rsidRDefault="003B5FA2" w:rsidP="00316CD5">
      <w:pPr>
        <w:ind w:left="799"/>
        <w:rPr>
          <w:color w:val="000000"/>
          <w:sz w:val="24"/>
          <w:szCs w:val="24"/>
        </w:rPr>
      </w:pPr>
    </w:p>
    <w:p w:rsidR="003B5FA2" w:rsidRDefault="003B5FA2" w:rsidP="00316CD5">
      <w:pPr>
        <w:ind w:left="799"/>
        <w:rPr>
          <w:color w:val="000000"/>
          <w:sz w:val="24"/>
          <w:szCs w:val="24"/>
        </w:rPr>
      </w:pPr>
      <w:r>
        <w:rPr>
          <w:color w:val="000000"/>
          <w:sz w:val="24"/>
          <w:szCs w:val="24"/>
        </w:rPr>
        <w:t xml:space="preserve"> </w:t>
      </w:r>
    </w:p>
    <w:p w:rsidR="003B5FA2" w:rsidRDefault="003B5FA2" w:rsidP="00316CD5">
      <w:pPr>
        <w:ind w:left="799"/>
        <w:rPr>
          <w:color w:val="000000"/>
          <w:sz w:val="24"/>
          <w:szCs w:val="24"/>
        </w:rPr>
      </w:pPr>
      <w:r>
        <w:rPr>
          <w:color w:val="000000"/>
          <w:sz w:val="24"/>
          <w:szCs w:val="24"/>
        </w:rPr>
        <w:t>ПОДКРЕПИЛИ ПИСМОТО:</w:t>
      </w:r>
    </w:p>
    <w:p w:rsidR="003B5FA2" w:rsidRDefault="003B5FA2" w:rsidP="00316CD5">
      <w:pPr>
        <w:ind w:left="799"/>
        <w:rPr>
          <w:color w:val="000000"/>
          <w:sz w:val="24"/>
          <w:szCs w:val="24"/>
        </w:rPr>
      </w:pPr>
    </w:p>
    <w:p w:rsidR="003B5FA2" w:rsidRDefault="003B5FA2" w:rsidP="00316CD5">
      <w:pPr>
        <w:ind w:left="799"/>
        <w:rPr>
          <w:color w:val="000000"/>
          <w:sz w:val="24"/>
          <w:szCs w:val="24"/>
        </w:rPr>
      </w:pPr>
    </w:p>
    <w:p w:rsidR="003B5FA2" w:rsidRDefault="003B5FA2" w:rsidP="00316CD5">
      <w:pPr>
        <w:ind w:left="799"/>
        <w:rPr>
          <w:color w:val="000000"/>
          <w:sz w:val="24"/>
          <w:szCs w:val="24"/>
        </w:rPr>
      </w:pPr>
      <w:r>
        <w:rPr>
          <w:color w:val="000000"/>
          <w:sz w:val="24"/>
          <w:szCs w:val="24"/>
        </w:rPr>
        <w:t xml:space="preserve">Чл.-кор. Евелина Славчева Председател на БАН, акад. Иван Иванов,      чл.-кор. Атанас Атанасов, акад. Вася Банкова, акад. Ячко Иванов,          чл-кор. Владимир Божинов, чл.-кор. Димчо Кашчиев, акад. Христо Цветанов акад. Петър Атанасов, чл.-кор. Ангел Стефанов,              акад. Александър Александров, чл.-кор. Кристалина Стойкова,           акад. д-р Драга Тончева, акад. д-р Богдан Петрунов, акад. Красимир Атанасов, акад. Илза Пъжева, акад. Олег Мушкаров, акад. Александър Драйшу, акад. Константин Хаджииванов, акад. д-р Дамян Дамянов,    акад. д-р Владимир Овчаров, акад. Георги Г. Марков, чл.-кор. Андон Косев,    акад. Владимир Зарев, чл.-кор. Красимир  Данов,             чл.-кор. Николай Николов, акад.Кирил Боянов, акад. д-р Григор Горчев, акад. Светлана Куюджиева, чл.-кор.д-р Николай Габровски,             чл.-кор. Костадин Ганев, чл-кор. Стефан Драгоев, акад. Румен Панков,           акад. Чавдар Славов, акад. Васил Големански, чл.-кор. д-р Асен Гудев ,чл.-кор. д-р Цветалина Танкова,  акад. д-р Лъчезар Трайков,     чл.-кор. Венелин Живков, чл.-кор. Иван Гранитски, акад.Чавдар Руменин, акад. Иван Илчев, чл.-кор. д-р Стефан Костянев, чл.-кор. Владимир Чуков, чл.-кор. Валя Петкова, чл.-кор. Васил </w:t>
      </w:r>
      <w:r>
        <w:rPr>
          <w:color w:val="000000"/>
          <w:sz w:val="24"/>
          <w:szCs w:val="24"/>
        </w:rPr>
        <w:lastRenderedPageBreak/>
        <w:t>Проданов, чл.-кор. Иван Русев,    акад. Петко Петков, чл.-кор. Георги Вайсилов, чл.-кор. Атанас Ковачев, чл.кор. Георги Михов, чл.-кор. д-р Христина Групчева,  акад. Тони Спасов, акад. Иван Илиев, чл.-кор. Надежда Рибарска,                  чл.-кор. д-р Славчо Томов, чл.-кор. д-р Иво Петров, чл.-кор. Станислав Василев, чл.-кор. д-р Николай Цанков, чл.-кор. Георги Момеков,      акад. Иван Русчев, чл.-кор. Младен Савов, акад. Васил Николов,        чл.-кор. Сорен Хайрабедян, чл.-кор. Николай Бонев, проф. Иво Иванов, акад. Атанас Атанасов, чл.-кор. Иван Атанасов, акад. д-р Христо Найденски, чл.-кор.Димчо Солаков, чл.-кор. Стефан Хаджитодоров,     акад. Атанас Павлов,                                                     За отговор: акад. Иван Юхновски, Форум за борба с лъженауката при Събранието на академиците и член-кореспондентите на БАН;  0887478626; ЦЕНТРАЛНО УПРАВЛЕНИЕ НА БАН,  ул.”15 ноември”  1, София</w:t>
      </w:r>
    </w:p>
    <w:p w:rsidR="003B5FA2" w:rsidRDefault="003B5FA2" w:rsidP="003B5FA2">
      <w:pPr>
        <w:ind w:left="799"/>
        <w:jc w:val="left"/>
        <w:rPr>
          <w:color w:val="000000"/>
          <w:sz w:val="24"/>
          <w:szCs w:val="24"/>
        </w:rPr>
      </w:pPr>
    </w:p>
    <w:p w:rsidR="003B5FA2" w:rsidRDefault="003B5FA2" w:rsidP="003B5FA2">
      <w:pPr>
        <w:ind w:left="799"/>
        <w:jc w:val="left"/>
        <w:rPr>
          <w:color w:val="000000"/>
          <w:sz w:val="24"/>
          <w:szCs w:val="24"/>
        </w:rPr>
      </w:pPr>
      <w:r>
        <w:rPr>
          <w:color w:val="000000"/>
          <w:sz w:val="24"/>
          <w:szCs w:val="24"/>
        </w:rPr>
        <w:t xml:space="preserve">20.05.2025 г. </w:t>
      </w:r>
    </w:p>
    <w:p w:rsidR="003B5FA2" w:rsidRDefault="003B5FA2" w:rsidP="003B5FA2">
      <w:pPr>
        <w:jc w:val="left"/>
        <w:rPr>
          <w:color w:val="000000"/>
          <w:sz w:val="24"/>
          <w:szCs w:val="24"/>
        </w:rPr>
      </w:pPr>
    </w:p>
    <w:p w:rsidR="003B5FA2" w:rsidRDefault="003B5FA2" w:rsidP="003B5FA2">
      <w:pPr>
        <w:ind w:left="799"/>
        <w:jc w:val="left"/>
        <w:rPr>
          <w:color w:val="000000"/>
          <w:sz w:val="24"/>
          <w:szCs w:val="24"/>
        </w:rPr>
      </w:pPr>
    </w:p>
    <w:p w:rsidR="003B5FA2" w:rsidRDefault="003B5FA2" w:rsidP="003B5FA2">
      <w:pPr>
        <w:ind w:right="-880" w:firstLine="780"/>
        <w:jc w:val="left"/>
        <w:rPr>
          <w:sz w:val="24"/>
          <w:szCs w:val="24"/>
        </w:rPr>
      </w:pPr>
    </w:p>
    <w:p w:rsidR="003B5FA2" w:rsidRDefault="003B5FA2" w:rsidP="003B5FA2">
      <w:pPr>
        <w:tabs>
          <w:tab w:val="left" w:pos="3960"/>
        </w:tabs>
        <w:ind w:left="799"/>
        <w:jc w:val="left"/>
        <w:rPr>
          <w:sz w:val="24"/>
          <w:szCs w:val="24"/>
        </w:rPr>
      </w:pPr>
      <w:r>
        <w:rPr>
          <w:sz w:val="24"/>
          <w:szCs w:val="24"/>
        </w:rPr>
        <w:t xml:space="preserve">               </w:t>
      </w:r>
      <w:r>
        <w:rPr>
          <w:sz w:val="24"/>
          <w:szCs w:val="24"/>
        </w:rPr>
        <w:tab/>
      </w:r>
    </w:p>
    <w:p w:rsidR="003B5FA2" w:rsidRDefault="003B5FA2" w:rsidP="003B5FA2">
      <w:pPr>
        <w:ind w:left="799"/>
        <w:jc w:val="left"/>
        <w:rPr>
          <w:sz w:val="24"/>
          <w:szCs w:val="24"/>
        </w:rPr>
      </w:pPr>
    </w:p>
    <w:p w:rsidR="003B5FA2" w:rsidRDefault="003B5FA2" w:rsidP="003B5FA2">
      <w:pPr>
        <w:ind w:left="799"/>
        <w:jc w:val="left"/>
        <w:rPr>
          <w:b/>
          <w:sz w:val="24"/>
          <w:szCs w:val="24"/>
        </w:rPr>
      </w:pPr>
      <w:r>
        <w:rPr>
          <w:sz w:val="24"/>
          <w:szCs w:val="24"/>
        </w:rPr>
        <w:t xml:space="preserve">            </w:t>
      </w:r>
    </w:p>
    <w:p w:rsidR="005834BB" w:rsidRDefault="005834BB"/>
    <w:sectPr w:rsidR="005834BB">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FA2"/>
    <w:rsid w:val="00316CD5"/>
    <w:rsid w:val="003B5FA2"/>
    <w:rsid w:val="00583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7F841B-D2C0-4B81-867E-75060F493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FA2"/>
    <w:pPr>
      <w:spacing w:line="240" w:lineRule="auto"/>
      <w:jc w:val="both"/>
    </w:pPr>
    <w:rPr>
      <w:rFonts w:ascii="Times New Roman" w:eastAsia="Times New Roman" w:hAnsi="Times New Roman" w:cs="Times New Roman"/>
      <w:shd w:val="clear" w:color="000000" w:fill="auto"/>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1334</Words>
  <Characters>7606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Velina</dc:creator>
  <cp:keywords/>
  <dc:description/>
  <cp:lastModifiedBy>Velina</cp:lastModifiedBy>
  <cp:revision>2</cp:revision>
  <dcterms:created xsi:type="dcterms:W3CDTF">2025-05-27T14:26:00Z</dcterms:created>
  <dcterms:modified xsi:type="dcterms:W3CDTF">2025-05-28T06:52:00Z</dcterms:modified>
</cp:coreProperties>
</file>