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D3" w:rsidRPr="00AB03B3" w:rsidRDefault="00D257D3" w:rsidP="00D257D3">
      <w:pPr>
        <w:autoSpaceDE w:val="0"/>
        <w:autoSpaceDN w:val="0"/>
        <w:adjustRightInd w:val="0"/>
        <w:spacing w:beforeLines="25" w:before="60" w:afterLines="25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B03B3">
        <w:rPr>
          <w:rFonts w:ascii="Times New Roman" w:hAnsi="Times New Roman" w:cs="Times New Roman"/>
          <w:b/>
          <w:bCs/>
          <w:kern w:val="0"/>
          <w:sz w:val="28"/>
          <w:szCs w:val="28"/>
        </w:rPr>
        <w:t>White-Collar Crime in a Global Context: Comparative Perspectives from China and Bulgaria</w:t>
      </w:r>
    </w:p>
    <w:p w:rsidR="00D257D3" w:rsidRPr="00AB03B3" w:rsidRDefault="00D257D3" w:rsidP="00D257D3">
      <w:pPr>
        <w:autoSpaceDE w:val="0"/>
        <w:autoSpaceDN w:val="0"/>
        <w:adjustRightInd w:val="0"/>
        <w:spacing w:beforeLines="25" w:before="60" w:afterLines="25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23"/>
      </w:tblGrid>
      <w:tr w:rsidR="00D257D3" w:rsidRPr="00AB03B3" w:rsidTr="00344E2C">
        <w:tc>
          <w:tcPr>
            <w:tcW w:w="2547" w:type="dxa"/>
            <w:shd w:val="clear" w:color="auto" w:fill="D0CECE" w:themeFill="background2" w:themeFillShade="E6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Cs w:val="22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Cs w:val="22"/>
              </w:rPr>
              <w:t xml:space="preserve">Date </w:t>
            </w:r>
          </w:p>
        </w:tc>
        <w:tc>
          <w:tcPr>
            <w:tcW w:w="7523" w:type="dxa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Cs w:val="22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>2</w:t>
            </w:r>
            <w:r w:rsidRPr="00AB03B3">
              <w:rPr>
                <w:rFonts w:ascii="Times New Roman" w:eastAsia="仿宋" w:hAnsi="Times New Roman" w:cs="Times New Roman" w:hint="eastAsia"/>
                <w:b/>
                <w:bCs/>
                <w:kern w:val="0"/>
                <w:szCs w:val="22"/>
              </w:rPr>
              <w:t>4</w:t>
            </w: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 xml:space="preserve"> April 2026</w:t>
            </w:r>
          </w:p>
        </w:tc>
      </w:tr>
      <w:tr w:rsidR="00D257D3" w:rsidRPr="00AB03B3" w:rsidTr="00344E2C">
        <w:tc>
          <w:tcPr>
            <w:tcW w:w="2547" w:type="dxa"/>
            <w:shd w:val="clear" w:color="auto" w:fill="D0CECE" w:themeFill="background2" w:themeFillShade="E6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Cs w:val="22"/>
              </w:rPr>
              <w:t xml:space="preserve">Time </w:t>
            </w:r>
          </w:p>
        </w:tc>
        <w:tc>
          <w:tcPr>
            <w:tcW w:w="7523" w:type="dxa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Cs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>09:00–12:00 a.m.</w:t>
            </w:r>
            <w:r w:rsidRPr="00AB03B3">
              <w:rPr>
                <w:rFonts w:ascii="Times New Roman" w:eastAsia="MS Mincho" w:hAnsi="Times New Roman" w:cs="Times New Roman" w:hint="eastAsia"/>
                <w:b/>
                <w:bCs/>
                <w:kern w:val="0"/>
                <w:szCs w:val="22"/>
              </w:rPr>
              <w:t xml:space="preserve"> 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</w:pPr>
          </w:p>
        </w:tc>
      </w:tr>
      <w:tr w:rsidR="00D257D3" w:rsidRPr="00AB03B3" w:rsidTr="00344E2C">
        <w:tc>
          <w:tcPr>
            <w:tcW w:w="2547" w:type="dxa"/>
            <w:shd w:val="clear" w:color="auto" w:fill="D0CECE" w:themeFill="background2" w:themeFillShade="E6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Cs w:val="22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Cs w:val="22"/>
              </w:rPr>
              <w:t xml:space="preserve">Format </w:t>
            </w:r>
          </w:p>
        </w:tc>
        <w:tc>
          <w:tcPr>
            <w:tcW w:w="7523" w:type="dxa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 xml:space="preserve">Hybrid Seminar (In-person &amp; Online) </w:t>
            </w:r>
          </w:p>
        </w:tc>
      </w:tr>
      <w:tr w:rsidR="00D257D3" w:rsidRPr="00AB03B3" w:rsidTr="00344E2C">
        <w:trPr>
          <w:trHeight w:val="681"/>
        </w:trPr>
        <w:tc>
          <w:tcPr>
            <w:tcW w:w="2547" w:type="dxa"/>
            <w:shd w:val="clear" w:color="auto" w:fill="D0CECE" w:themeFill="background2" w:themeFillShade="E6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Cs w:val="22"/>
              </w:rPr>
              <w:t>Organizers</w:t>
            </w:r>
          </w:p>
        </w:tc>
        <w:tc>
          <w:tcPr>
            <w:tcW w:w="7523" w:type="dxa"/>
          </w:tcPr>
          <w:p w:rsidR="00D257D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Cs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 xml:space="preserve">Institute for the State and the Law - </w:t>
            </w: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>Bulgarian Academy of Sciences</w:t>
            </w:r>
            <w:r w:rsidRPr="00AB03B3">
              <w:rPr>
                <w:rFonts w:ascii="Times New Roman" w:eastAsia="MS Mincho" w:hAnsi="Times New Roman" w:cs="Times New Roman"/>
                <w:b/>
                <w:bCs/>
                <w:kern w:val="0"/>
                <w:szCs w:val="22"/>
              </w:rPr>
              <w:t xml:space="preserve"> </w:t>
            </w:r>
          </w:p>
          <w:p w:rsidR="00D257D3" w:rsidRPr="00D257D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DengXian" w:hAnsi="Times New Roman" w:cs="Times New Roman"/>
                <w:kern w:val="0"/>
                <w:szCs w:val="22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>Ca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Cs w:val="22"/>
              </w:rPr>
              <w:t>pital Equity Legal Group (CELG)</w:t>
            </w:r>
          </w:p>
        </w:tc>
      </w:tr>
    </w:tbl>
    <w:p w:rsidR="00D257D3" w:rsidRPr="00AB03B3" w:rsidRDefault="00D257D3" w:rsidP="00D257D3">
      <w:pPr>
        <w:autoSpaceDE w:val="0"/>
        <w:autoSpaceDN w:val="0"/>
        <w:adjustRightInd w:val="0"/>
        <w:spacing w:beforeLines="25" w:before="60" w:afterLines="25" w:after="60" w:line="276" w:lineRule="auto"/>
        <w:rPr>
          <w:rFonts w:ascii="Times New Roman" w:eastAsia="仿宋" w:hAnsi="Times New Roman" w:cs="Times New Roman"/>
          <w:b/>
          <w:bCs/>
          <w:kern w:val="0"/>
          <w:szCs w:val="22"/>
        </w:rPr>
      </w:pPr>
    </w:p>
    <w:tbl>
      <w:tblPr>
        <w:tblW w:w="10916" w:type="dxa"/>
        <w:tblInd w:w="-294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993"/>
      </w:tblGrid>
      <w:tr w:rsidR="00D257D3" w:rsidRPr="00AB03B3" w:rsidTr="00344E2C">
        <w:tc>
          <w:tcPr>
            <w:tcW w:w="992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PingFang SC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Topic &amp; Speaker 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PingFang SC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PingFang SC" w:hAnsi="Times New Roman" w:cs="Times New Roman"/>
                <w:b/>
                <w:bCs/>
                <w:kern w:val="0"/>
                <w:sz w:val="24"/>
              </w:rPr>
              <w:t xml:space="preserve">Time 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Moderator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Asen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Velinov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, Attorney at Law (California)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257D3" w:rsidRPr="00AB03B3" w:rsidTr="00344E2C">
        <w:tc>
          <w:tcPr>
            <w:tcW w:w="992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D257D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Part I: Chinese Session</w:t>
            </w: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90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Overview of Chinese Criminal Law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Chen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Youxi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,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Founding Partner and Chairman of the Board of Directors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CELG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25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single" w:sz="8" w:space="0" w:color="9A9A9A"/>
              <w:left w:val="single" w:sz="8" w:space="0" w:color="9A9A9A"/>
              <w:bottom w:val="nil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Session Host</w:t>
            </w:r>
            <w:r w:rsidRPr="00AB03B3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</w:rPr>
              <w:t> 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ind w:leftChars="200" w:left="44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Jing Lei</w:t>
            </w:r>
            <w:r w:rsidRPr="00AB03B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AB03B3">
              <w:rPr>
                <w:rFonts w:ascii="-webkit-standard" w:hAnsi="-webkit-standard" w:hint="eastAsia"/>
                <w:color w:val="000000"/>
                <w:sz w:val="24"/>
              </w:rPr>
              <w:t xml:space="preserve">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The Director of International Legal Committee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CELG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Shanghai Office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ind w:leftChars="200" w:left="44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5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nil"/>
              <w:left w:val="single" w:sz="8" w:space="0" w:color="9A9A9A"/>
              <w:bottom w:val="nil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White-Collar Crime under Chinese Criminal Law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ind w:leftChars="200" w:left="44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Zhang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Qingjun</w:t>
            </w:r>
            <w:proofErr w:type="spellEnd"/>
            <w:r w:rsidRPr="00AB03B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AB03B3">
              <w:rPr>
                <w:rFonts w:ascii="-webkit-standard" w:hAnsi="-webkit-standard" w:hint="eastAsia"/>
                <w:color w:val="000000"/>
                <w:sz w:val="24"/>
              </w:rPr>
              <w:t xml:space="preserve"> 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Senior P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artner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and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Director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Shanghai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Jinghuheng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Law Firm </w:t>
            </w:r>
          </w:p>
          <w:p w:rsidR="00D257D3" w:rsidRPr="00AB03B3" w:rsidRDefault="00D257D3" w:rsidP="00344E2C">
            <w:pPr>
              <w:pStyle w:val="ListParagraph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15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nil"/>
              <w:left w:val="single" w:sz="8" w:space="0" w:color="9A9A9A"/>
              <w:bottom w:val="nil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Overview of Chinese Criminal Procedure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ind w:leftChars="200" w:left="44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Hu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Xiyan</w:t>
            </w:r>
            <w:proofErr w:type="spellEnd"/>
            <w:r w:rsidRPr="00AB03B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AB03B3">
              <w:rPr>
                <w:rFonts w:ascii="-webkit-standard" w:hAnsi="-webkit-standard" w:hint="eastAsia"/>
                <w:color w:val="000000"/>
                <w:sz w:val="24"/>
              </w:rPr>
              <w:t xml:space="preserve"> 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Senior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Partner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and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Deputy Director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Shanghai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Jinghuheng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Law Firm</w:t>
            </w:r>
            <w:r w:rsidRPr="00AB03B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AB03B3">
              <w:rPr>
                <w:rFonts w:ascii="-webkit-standard" w:hAnsi="-webkit-standard" w:hint="eastAsia"/>
                <w:color w:val="000000"/>
                <w:sz w:val="24"/>
              </w:rPr>
              <w:t xml:space="preserve">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Deputy Director of International Criminal Law Department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CELG</w:t>
            </w:r>
          </w:p>
          <w:p w:rsidR="00D257D3" w:rsidRPr="00AB03B3" w:rsidRDefault="00D257D3" w:rsidP="00344E2C">
            <w:pPr>
              <w:pStyle w:val="ListParagraph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5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nil"/>
              <w:left w:val="single" w:sz="8" w:space="0" w:color="9A9A9A"/>
              <w:bottom w:val="nil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D257D3" w:rsidRDefault="00D257D3" w:rsidP="000652A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D257D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Evidence Issues in White-Collar Crime Cases under Chinese Law </w:t>
            </w:r>
          </w:p>
          <w:p w:rsidR="00D257D3" w:rsidRPr="00D257D3" w:rsidRDefault="00D257D3" w:rsidP="00D257D3">
            <w:pPr>
              <w:pStyle w:val="ListParagraph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D257D3">
              <w:rPr>
                <w:rFonts w:ascii="Times New Roman" w:eastAsia="仿宋" w:hAnsi="Times New Roman" w:cs="Times New Roman"/>
                <w:kern w:val="0"/>
                <w:sz w:val="24"/>
              </w:rPr>
              <w:t>Yang Bing</w:t>
            </w:r>
            <w:r w:rsidRPr="00D257D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D257D3">
              <w:rPr>
                <w:rFonts w:ascii="-webkit-standard" w:hAnsi="-webkit-standard" w:hint="eastAsia"/>
                <w:color w:val="000000"/>
                <w:sz w:val="24"/>
              </w:rPr>
              <w:t xml:space="preserve"> </w:t>
            </w:r>
            <w:r w:rsidRPr="00D257D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Senior</w:t>
            </w:r>
            <w:r w:rsidRPr="00D257D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Partner</w:t>
            </w:r>
            <w:r w:rsidRPr="00D257D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and</w:t>
            </w:r>
            <w:r w:rsidRPr="00D257D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Deputy Director</w:t>
            </w:r>
            <w:r w:rsidRPr="00D257D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CELG</w:t>
            </w:r>
            <w:r w:rsidRPr="00D257D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Shanghai Office</w:t>
            </w:r>
            <w:r w:rsidRPr="00D257D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</w:t>
            </w:r>
          </w:p>
          <w:p w:rsidR="00D257D3" w:rsidRPr="00AB03B3" w:rsidRDefault="00D257D3" w:rsidP="00344E2C">
            <w:pPr>
              <w:pStyle w:val="ListParagraph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>15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923" w:type="dxa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5" w:before="60" w:afterLines="25" w:after="60" w:line="240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Defense Practice in White-Collar Crime Cases in China </w:t>
            </w:r>
          </w:p>
          <w:p w:rsidR="00D257D3" w:rsidRPr="00AB03B3" w:rsidRDefault="00D257D3" w:rsidP="00344E2C">
            <w:pPr>
              <w:pStyle w:val="ListParagraph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Stella Wang</w:t>
            </w:r>
            <w:r w:rsidRPr="00AB03B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AB03B3">
              <w:rPr>
                <w:rFonts w:ascii="-webkit-standard" w:hAnsi="-webkit-standard" w:hint="eastAsia"/>
                <w:color w:val="000000"/>
                <w:sz w:val="24"/>
              </w:rPr>
              <w:t xml:space="preserve">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Director of North America Legal Department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and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Director of International Criminal Department</w:t>
            </w:r>
            <w:r w:rsidRPr="00AB03B3">
              <w:rPr>
                <w:rFonts w:ascii="-webkit-standard" w:hAnsi="-webkit-standard"/>
                <w:color w:val="000000"/>
                <w:sz w:val="24"/>
              </w:rPr>
              <w:t>,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of CELG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Shanghai Office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</w:t>
            </w:r>
          </w:p>
          <w:p w:rsidR="00D257D3" w:rsidRPr="00AB03B3" w:rsidRDefault="00D257D3" w:rsidP="00344E2C">
            <w:pPr>
              <w:pStyle w:val="ListParagraph"/>
              <w:autoSpaceDE w:val="0"/>
              <w:autoSpaceDN w:val="0"/>
              <w:adjustRightInd w:val="0"/>
              <w:spacing w:beforeLines="25" w:before="60" w:afterLines="25" w:after="60" w:line="240" w:lineRule="auto"/>
              <w:ind w:left="440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4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15 </w:t>
            </w: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min</w:t>
            </w:r>
          </w:p>
        </w:tc>
      </w:tr>
    </w:tbl>
    <w:p w:rsidR="00D257D3" w:rsidRPr="00AB03B3" w:rsidRDefault="00D257D3" w:rsidP="00D257D3">
      <w:pPr>
        <w:spacing w:beforeLines="25" w:before="60" w:afterLines="25" w:after="60" w:line="240" w:lineRule="auto"/>
        <w:rPr>
          <w:rFonts w:ascii="Times New Roman" w:hAnsi="Times New Roman" w:cs="Times New Roman"/>
        </w:rPr>
      </w:pPr>
    </w:p>
    <w:tbl>
      <w:tblPr>
        <w:tblW w:w="10598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1276"/>
      </w:tblGrid>
      <w:tr w:rsidR="00D257D3" w:rsidRPr="00AB03B3" w:rsidTr="00344E2C"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D257D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Style w:val="Strong"/>
                <w:rFonts w:ascii="Times New Roman" w:hAnsi="Times New Roman" w:cs="Times New Roman"/>
                <w:color w:val="000000"/>
                <w:sz w:val="24"/>
              </w:rPr>
              <w:t>Part II: Bulgarian Session</w:t>
            </w:r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90 min</w:t>
            </w:r>
          </w:p>
        </w:tc>
      </w:tr>
      <w:tr w:rsidR="00D257D3" w:rsidRPr="00AB03B3" w:rsidTr="00344E2C">
        <w:tc>
          <w:tcPr>
            <w:tcW w:w="10598" w:type="dxa"/>
            <w:gridSpan w:val="2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Panel I: Substantive Criminal Law and the White-Collar Offenses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rPr>
          <w:trHeight w:val="314"/>
        </w:trPr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nil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Overview of Bulgarian Criminal Law </w:t>
            </w:r>
          </w:p>
        </w:tc>
        <w:tc>
          <w:tcPr>
            <w:tcW w:w="1276" w:type="dxa"/>
            <w:vMerge w:val="restart"/>
            <w:tcBorders>
              <w:top w:val="single" w:sz="8" w:space="0" w:color="9A9A9A"/>
              <w:left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val="bg-BG"/>
              </w:rPr>
              <w:t xml:space="preserve">15 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min</w:t>
            </w:r>
            <w:r w:rsidRPr="00AB03B3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rPr>
          <w:trHeight w:val="313"/>
        </w:trPr>
        <w:tc>
          <w:tcPr>
            <w:tcW w:w="9322" w:type="dxa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Chief Assist. Prof.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Iveta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Valeva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, PhD </w:t>
            </w:r>
          </w:p>
        </w:tc>
        <w:tc>
          <w:tcPr>
            <w:tcW w:w="1276" w:type="dxa"/>
            <w:vMerge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White-Collar Crime – Criminological Aspects. Bribery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Chief Assist. Prof.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Ognyan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Velev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, PhD </w:t>
            </w:r>
          </w:p>
          <w:p w:rsidR="00D257D3" w:rsidRPr="00AB03B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Chief Assist. Prof.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Mariya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Mihaylova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, PhD </w:t>
            </w:r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15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White-Collar Offenses under Bulgarian Criminal Law </w:t>
            </w:r>
          </w:p>
          <w:p w:rsidR="00D257D3" w:rsidRPr="00AB03B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Assoc. Prof. Iva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Pushkarova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, PhD </w:t>
            </w:r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15 min</w:t>
            </w:r>
          </w:p>
        </w:tc>
      </w:tr>
      <w:tr w:rsidR="00D257D3" w:rsidRPr="00AB03B3" w:rsidTr="00344E2C">
        <w:tc>
          <w:tcPr>
            <w:tcW w:w="10598" w:type="dxa"/>
            <w:gridSpan w:val="2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Panel II: White-Collar Crime from a Procedural Perspective</w:t>
            </w:r>
          </w:p>
          <w:p w:rsidR="00D257D3" w:rsidRPr="00D257D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Overview o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f Bulgarian Criminal Procedure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Prof.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Gergana</w:t>
            </w:r>
            <w:proofErr w:type="spellEnd"/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Marinova, DSc</w:t>
            </w:r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Collection of Eviden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ce in White-Collar Crime Cases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Prof. Ekaterina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Salkova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, PhD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Chief Assist. Prof.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Hristo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Kutiev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, PhD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PhD candidate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Antoniy</w:t>
            </w:r>
            <w:proofErr w:type="spellEnd"/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Gatov</w:t>
            </w:r>
            <w:proofErr w:type="spellEnd"/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 min</w:t>
            </w:r>
          </w:p>
        </w:tc>
      </w:tr>
      <w:tr w:rsidR="00D257D3" w:rsidRPr="00AB03B3" w:rsidTr="00344E2C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Challenges to the Defense in White-Collar Crime Criminal Trials 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Prof. Ekaterina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Salkova</w:t>
            </w:r>
            <w:proofErr w:type="spellEnd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, PhD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Chief A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ssist. Prof.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Hristo</w:t>
            </w:r>
            <w:proofErr w:type="spellEnd"/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Kutiev</w:t>
            </w:r>
            <w:proofErr w:type="spellEnd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, PhD</w:t>
            </w:r>
          </w:p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PhD candidate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Antoniy</w:t>
            </w:r>
            <w:proofErr w:type="spellEnd"/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Gatov</w:t>
            </w:r>
            <w:proofErr w:type="spellEnd"/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AB03B3" w:rsidRDefault="00D257D3" w:rsidP="00D257D3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 min</w:t>
            </w:r>
          </w:p>
        </w:tc>
      </w:tr>
      <w:tr w:rsidR="00D257D3" w:rsidRPr="00E93120" w:rsidTr="00344E2C">
        <w:tblPrEx>
          <w:tblBorders>
            <w:top w:val="none" w:sz="0" w:space="0" w:color="auto"/>
          </w:tblBorders>
        </w:tblPrEx>
        <w:tc>
          <w:tcPr>
            <w:tcW w:w="932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D257D3" w:rsidRPr="00AB03B3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 w:rsidRPr="00AB03B3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International Cooperat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ion in White-Collar Crime Cases</w:t>
            </w:r>
          </w:p>
          <w:p w:rsidR="00D257D3" w:rsidRPr="00D25829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rPr>
                <w:rFonts w:ascii="Times New Roman" w:eastAsia="仿宋" w:hAnsi="Times New Roman" w:cs="Times New Roman"/>
                <w:kern w:val="0"/>
                <w:sz w:val="24"/>
                <w:lang w:val="bg-BG"/>
              </w:rPr>
            </w:pPr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Sava </w:t>
            </w:r>
            <w:proofErr w:type="spellStart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Petrov</w:t>
            </w:r>
            <w:proofErr w:type="spellEnd"/>
            <w:r w:rsidRPr="00AB03B3">
              <w:rPr>
                <w:rFonts w:ascii="Times New Roman" w:eastAsia="仿宋" w:hAnsi="Times New Roman" w:cs="Times New Roman"/>
                <w:kern w:val="0"/>
                <w:sz w:val="24"/>
              </w:rPr>
              <w:t>, Prosecutor at Supreme P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rosecutor's Office of Cassation</w:t>
            </w:r>
          </w:p>
        </w:tc>
        <w:tc>
          <w:tcPr>
            <w:tcW w:w="12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0CECE" w:themeFill="background2" w:themeFillShade="E6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D257D3" w:rsidRPr="00E93120" w:rsidRDefault="00D257D3" w:rsidP="00344E2C">
            <w:pPr>
              <w:autoSpaceDE w:val="0"/>
              <w:autoSpaceDN w:val="0"/>
              <w:adjustRightInd w:val="0"/>
              <w:spacing w:beforeLines="25" w:before="60" w:afterLines="25" w:after="60" w:line="276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15 min</w:t>
            </w:r>
          </w:p>
        </w:tc>
      </w:tr>
    </w:tbl>
    <w:p w:rsidR="00EA776B" w:rsidRDefault="00F04896" w:rsidP="00FB726A">
      <w:pPr>
        <w:widowControl/>
        <w:spacing w:after="0" w:line="240" w:lineRule="auto"/>
      </w:pPr>
      <w:bookmarkStart w:id="0" w:name="_GoBack"/>
      <w:bookmarkEnd w:id="0"/>
    </w:p>
    <w:sectPr w:rsidR="00EA776B" w:rsidSect="002925DC">
      <w:headerReference w:type="default" r:id="rId7"/>
      <w:pgSz w:w="12240" w:h="15840"/>
      <w:pgMar w:top="1361" w:right="1077" w:bottom="1361" w:left="107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96" w:rsidRDefault="00F04896">
      <w:pPr>
        <w:spacing w:after="0" w:line="240" w:lineRule="auto"/>
      </w:pPr>
      <w:r>
        <w:separator/>
      </w:r>
    </w:p>
  </w:endnote>
  <w:endnote w:type="continuationSeparator" w:id="0">
    <w:p w:rsidR="00F04896" w:rsidRDefault="00F0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Malgun Gothic Semilight"/>
    <w:charset w:val="86"/>
    <w:family w:val="swiss"/>
    <w:pitch w:val="variable"/>
    <w:sig w:usb0="00000000" w:usb1="7ACFFDFB" w:usb2="00000017" w:usb3="00000000" w:csb0="00040001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96" w:rsidRDefault="00F04896">
      <w:pPr>
        <w:spacing w:after="0" w:line="240" w:lineRule="auto"/>
      </w:pPr>
      <w:r>
        <w:separator/>
      </w:r>
    </w:p>
  </w:footnote>
  <w:footnote w:type="continuationSeparator" w:id="0">
    <w:p w:rsidR="00F04896" w:rsidRDefault="00F0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0D" w:rsidRPr="00471B0D" w:rsidRDefault="00F04896" w:rsidP="00471B0D">
    <w:pPr>
      <w:autoSpaceDE w:val="0"/>
      <w:autoSpaceDN w:val="0"/>
      <w:adjustRightInd w:val="0"/>
      <w:spacing w:beforeLines="25" w:before="60" w:afterLines="25" w:after="60" w:line="240" w:lineRule="auto"/>
      <w:jc w:val="right"/>
      <w:rPr>
        <w:rFonts w:ascii="Times New Roman" w:hAnsi="Times New Roman" w:cs="Times New Roman"/>
        <w:i/>
        <w:iCs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85DC2"/>
    <w:multiLevelType w:val="hybridMultilevel"/>
    <w:tmpl w:val="2E106B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D3"/>
    <w:rsid w:val="001877F7"/>
    <w:rsid w:val="0027235F"/>
    <w:rsid w:val="0037614D"/>
    <w:rsid w:val="003F04B5"/>
    <w:rsid w:val="00443222"/>
    <w:rsid w:val="005A32F2"/>
    <w:rsid w:val="00B1016B"/>
    <w:rsid w:val="00D257D3"/>
    <w:rsid w:val="00D25829"/>
    <w:rsid w:val="00D51544"/>
    <w:rsid w:val="00F04896"/>
    <w:rsid w:val="00F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0AF9"/>
  <w15:chartTrackingRefBased/>
  <w15:docId w15:val="{B15D5E81-C796-4B88-A040-6A94F53A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D3"/>
    <w:pPr>
      <w:widowControl w:val="0"/>
      <w:spacing w:line="278" w:lineRule="auto"/>
    </w:pPr>
    <w:rPr>
      <w:rFonts w:eastAsiaTheme="minorEastAsia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57D3"/>
    <w:rPr>
      <w:b/>
      <w:bCs/>
    </w:rPr>
  </w:style>
  <w:style w:type="character" w:customStyle="1" w:styleId="apple-converted-space">
    <w:name w:val="apple-converted-space"/>
    <w:basedOn w:val="DefaultParagraphFont"/>
    <w:rsid w:val="00D257D3"/>
  </w:style>
  <w:style w:type="table" w:styleId="TableGrid">
    <w:name w:val="Table Grid"/>
    <w:basedOn w:val="TableNormal"/>
    <w:uiPriority w:val="39"/>
    <w:rsid w:val="00D257D3"/>
    <w:pPr>
      <w:spacing w:after="0" w:line="240" w:lineRule="auto"/>
    </w:pPr>
    <w:rPr>
      <w:rFonts w:eastAsiaTheme="minorEastAsia"/>
      <w:kern w:val="2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32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Marinova</dc:creator>
  <cp:keywords/>
  <dc:description/>
  <cp:lastModifiedBy>G. Marinova</cp:lastModifiedBy>
  <cp:revision>7</cp:revision>
  <dcterms:created xsi:type="dcterms:W3CDTF">2026-04-15T09:32:00Z</dcterms:created>
  <dcterms:modified xsi:type="dcterms:W3CDTF">2026-04-22T12:28:00Z</dcterms:modified>
</cp:coreProperties>
</file>