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173C0" w14:textId="77777777" w:rsidR="00931764" w:rsidRDefault="00931764" w:rsidP="00931764">
      <w:pPr>
        <w:ind w:firstLine="708"/>
        <w:jc w:val="right"/>
        <w:rPr>
          <w:rFonts w:ascii="Arial Narrow" w:hAnsi="Arial Narrow" w:cs="Calibri"/>
          <w:color w:val="404040"/>
          <w:spacing w:val="10"/>
          <w:sz w:val="28"/>
          <w:szCs w:val="32"/>
        </w:rPr>
      </w:pPr>
      <w:r w:rsidRPr="00504BA2">
        <w:rPr>
          <w:rFonts w:ascii="Arial Narrow" w:hAnsi="Arial Narrow" w:cs="Calibri"/>
          <w:color w:val="404040"/>
          <w:spacing w:val="10"/>
          <w:sz w:val="28"/>
          <w:szCs w:val="28"/>
        </w:rPr>
        <w:t>БЪЛГАРСКА АКАДЕМИЯ НА НАУКИТЕ</w:t>
      </w:r>
      <w:r>
        <w:rPr>
          <w:rFonts w:cs="Calibri"/>
          <w:noProof/>
          <w:color w:val="404040"/>
          <w:spacing w:val="10"/>
          <w:sz w:val="28"/>
          <w:szCs w:val="32"/>
        </w:rPr>
        <w:t xml:space="preserve"> </w:t>
      </w:r>
      <w:r>
        <w:rPr>
          <w:rFonts w:cs="Calibri"/>
          <w:noProof/>
          <w:color w:val="404040"/>
          <w:spacing w:val="10"/>
          <w:sz w:val="28"/>
          <w:szCs w:val="32"/>
        </w:rPr>
        <w:drawing>
          <wp:anchor distT="0" distB="0" distL="114300" distR="114300" simplePos="0" relativeHeight="251661312" behindDoc="0" locked="0" layoutInCell="1" allowOverlap="1" wp14:anchorId="77C87831" wp14:editId="60B7E271">
            <wp:simplePos x="0" y="0"/>
            <wp:positionH relativeFrom="column">
              <wp:posOffset>1270</wp:posOffset>
            </wp:positionH>
            <wp:positionV relativeFrom="paragraph">
              <wp:posOffset>-153035</wp:posOffset>
            </wp:positionV>
            <wp:extent cx="790575" cy="802640"/>
            <wp:effectExtent l="0" t="0" r="0" b="0"/>
            <wp:wrapSquare wrapText="bothSides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Calibri"/>
          <w:color w:val="404040"/>
          <w:spacing w:val="10"/>
          <w:sz w:val="28"/>
          <w:szCs w:val="32"/>
        </w:rPr>
        <w:t xml:space="preserve">    </w:t>
      </w:r>
    </w:p>
    <w:p w14:paraId="027258E2" w14:textId="33DC349E" w:rsidR="00931764" w:rsidRPr="00CB77A4" w:rsidRDefault="00931764" w:rsidP="00931764">
      <w:pPr>
        <w:jc w:val="right"/>
        <w:rPr>
          <w:b/>
          <w:color w:val="000000"/>
          <w:sz w:val="20"/>
          <w:szCs w:val="20"/>
        </w:rPr>
      </w:pPr>
      <w:r>
        <w:rPr>
          <w:rFonts w:ascii="Arial Narrow" w:hAnsi="Arial Narrow" w:cs="Calibri"/>
          <w:color w:val="404040"/>
          <w:spacing w:val="10"/>
          <w:sz w:val="28"/>
          <w:szCs w:val="32"/>
        </w:rPr>
        <w:t xml:space="preserve"> </w:t>
      </w:r>
      <w:r w:rsidRPr="00504BA2">
        <w:rPr>
          <w:rFonts w:ascii="Arial Narrow" w:hAnsi="Arial Narrow" w:cs="Calibri"/>
          <w:color w:val="404040"/>
          <w:spacing w:val="10"/>
          <w:sz w:val="28"/>
          <w:szCs w:val="32"/>
        </w:rPr>
        <w:t>Институт за етнология и фолклористика с Етнографски музей</w:t>
      </w:r>
      <w:r>
        <w:rPr>
          <w:rFonts w:ascii="Arial Narrow" w:hAnsi="Arial Narrow" w:cs="Calibri"/>
          <w:color w:val="404040"/>
          <w:spacing w:val="10"/>
          <w:sz w:val="28"/>
          <w:szCs w:val="28"/>
        </w:rPr>
        <w:t xml:space="preserve">                                    </w:t>
      </w:r>
    </w:p>
    <w:p w14:paraId="6195822C" w14:textId="054BD34B" w:rsidR="00931764" w:rsidRDefault="00C2223C" w:rsidP="00F63A4A">
      <w:pPr>
        <w:ind w:right="-288"/>
        <w:jc w:val="right"/>
        <w:rPr>
          <w:rFonts w:asciiTheme="majorHAnsi" w:eastAsia="FangSong" w:hAnsiTheme="majorHAnsi" w:cs="Calibri"/>
          <w:b/>
          <w:noProof/>
          <w:color w:val="7F7F7F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3064C67B" wp14:editId="1B2F6BEB">
                <wp:simplePos x="0" y="0"/>
                <wp:positionH relativeFrom="column">
                  <wp:posOffset>22225</wp:posOffset>
                </wp:positionH>
                <wp:positionV relativeFrom="paragraph">
                  <wp:posOffset>94614</wp:posOffset>
                </wp:positionV>
                <wp:extent cx="5939790" cy="0"/>
                <wp:effectExtent l="0" t="0" r="381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A51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.75pt;margin-top:7.45pt;width:467.7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D6zAEAAH0DAAAOAAAAZHJzL2Uyb0RvYy54bWysU8Fu2zAMvQ/YPwi6L3ZatFuMOMWQrrt0&#10;W4B2H8BIsi1MFgVKiZO/H6UmWbfdhvkgSCLfI/mevLw7jE7sDUWLvpXzWS2F8Qq19X0rvz8/vPsg&#10;RUzgNTj0ppVHE+Xd6u2b5RQac4UDOm1IMImPzRRaOaQUmqqKajAjxBkG4znYIY2Q+Eh9pQkmZh9d&#10;dVXXt9WEpAOhMjHy7f1LUK4Kf9cZlb51XTRJuFZyb6msVNZtXqvVEpqeIAxWndqAf+hiBOu56IXq&#10;HhKIHdm/qEarCCN2aaZwrLDrrDJlBp5mXv8xzdMAwZRZWJwYLjLF/0ervu43JKxu5a0UHka26OMu&#10;YaksrrM8U4gNZ639hvKA6uCfwiOqH1F4XA/ge1OSn4+BsfOMqH6D5EMMXGQ7fUHNOcD8RatDR2Om&#10;ZBXEoVhyvFhiDkkovrxZXC/eL9g5dY5V0JyBgWL6bHAUedPKmAhsP6Q1es/GI81LGdg/xpTbguYM&#10;yFU9Pljniv/Oi4l7X9Q3dUFEdFbnaM6L1G/XjsQe8hMqXxmSI6/TCHdeF7bBgP502iew7mXP1Z0/&#10;aZPleBF2i/q4obNm7HFp8/Qe8yN6fS7oX3/N6icAAAD//wMAUEsDBBQABgAIAAAAIQD+hZrU2AAA&#10;AAcBAAAPAAAAZHJzL2Rvd25yZXYueG1sTI7PToNAEMbvJr7DZky8GLtotaGUpTEmnjxIqw8wwBSI&#10;7Cxhl7K+vWM86G2+P/nml++jHdSZJt87NnC3SkAR167puTXw8f5ym4LyAbnBwTEZ+CIP++LyIses&#10;cQsf6HwMrZIR9hka6EIYM6193ZFFv3IjsWQnN1kMIqdWNxMuMm4HfZ8kG22xZ/nQ4UjPHdWfx9ka&#10;iG8bDrFMY7Xw/OrTmzKiLY25vopPO1CBYvgrww++oEMhTJWbufFqMLB+lKLYD1tQEm/XqRzVr6GL&#10;XP/nL74BAAD//wMAUEsBAi0AFAAGAAgAAAAhALaDOJL+AAAA4QEAABMAAAAAAAAAAAAAAAAAAAAA&#10;AFtDb250ZW50X1R5cGVzXS54bWxQSwECLQAUAAYACAAAACEAOP0h/9YAAACUAQAACwAAAAAAAAAA&#10;AAAAAAAvAQAAX3JlbHMvLnJlbHNQSwECLQAUAAYACAAAACEA4ihg+swBAAB9AwAADgAAAAAAAAAA&#10;AAAAAAAuAgAAZHJzL2Uyb0RvYy54bWxQSwECLQAUAAYACAAAACEA/oWa1NgAAAAHAQAADwAAAAAA&#10;AAAAAAAAAAAmBAAAZHJzL2Rvd25yZXYueG1sUEsFBgAAAAAEAAQA8wAAACsFAAAAAA==&#10;" strokeweight="1.5pt"/>
            </w:pict>
          </mc:Fallback>
        </mc:AlternateContent>
      </w:r>
    </w:p>
    <w:p w14:paraId="76FDC58C" w14:textId="77777777" w:rsidR="00C2223C" w:rsidRDefault="00C2223C" w:rsidP="00E024BC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5686AACC" w14:textId="7209A4A2" w:rsidR="00F7661F" w:rsidRPr="00E024BC" w:rsidRDefault="00F7661F" w:rsidP="00E024BC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bookmarkStart w:id="0" w:name="_GoBack"/>
      <w:bookmarkEnd w:id="0"/>
      <w:r w:rsidRPr="00E024B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Входът за събитията в програмата на Националния етнографски музей е на цената на един посетителски билет: възрастен – 5 €; ученици, студенти и пенсионери – 2,50 €. Молим за предварително записване на тел: </w:t>
      </w:r>
      <w:r w:rsidRPr="00E024B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0879807947.</w:t>
      </w:r>
    </w:p>
    <w:p w14:paraId="07534AA6" w14:textId="77777777" w:rsidR="00F7661F" w:rsidRDefault="00F7661F" w:rsidP="00F7661F">
      <w:pPr>
        <w:pBdr>
          <w:bottom w:val="single" w:sz="6" w:space="1" w:color="auto"/>
        </w:pBd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27F702" w14:textId="2C13E4A4" w:rsidR="00F7661F" w:rsidRDefault="00E024BC" w:rsidP="00E024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ПЪЛНА ПРОГРАМА НА СЪБИТИЯТА В НАЦИОНАЛНИЯ ЕТНОГРАФСКИ МУЗЕЙ</w:t>
      </w:r>
    </w:p>
    <w:p w14:paraId="7D3BCD69" w14:textId="77777777" w:rsidR="00F7661F" w:rsidRDefault="00F7661F" w:rsidP="00F7661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A442323" w14:textId="77777777" w:rsidR="00F7661F" w:rsidRDefault="00F7661F" w:rsidP="00F7661F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18 септември 2026 г. (петък)</w:t>
      </w:r>
    </w:p>
    <w:p w14:paraId="2304E86F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bookmarkStart w:id="1" w:name="_Hlk240378657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Исторически тур: „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Княжеският дворец – дух и архитектура“</w:t>
      </w:r>
    </w:p>
    <w:bookmarkEnd w:id="1"/>
    <w:p w14:paraId="0E55A166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Начален час: 18:00 ч.</w:t>
      </w:r>
    </w:p>
    <w:p w14:paraId="061D8CF1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Продължителност: 1 ч.</w:t>
      </w:r>
    </w:p>
    <w:p w14:paraId="36B4A695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Максимален брой участници – 20 души</w:t>
      </w:r>
    </w:p>
    <w:p w14:paraId="4B678256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Водещ: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доц. д-р Петко Христов</w:t>
      </w:r>
    </w:p>
    <w:p w14:paraId="5CFFFFC5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Анотация: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Обиколката в Княжеския дворец, където се намират в момента Националния етнографски музей и Националната художествена галерия цели да запознае участниците в Квартал Фестивал с важните за българската история моменти и емблематични места и архитектурни елементи в сградата. </w:t>
      </w:r>
    </w:p>
    <w:p w14:paraId="6404234C" w14:textId="77777777" w:rsidR="00F7661F" w:rsidRDefault="00F7661F" w:rsidP="00F7661F">
      <w:pPr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Обиколката започва от входа с разказа за сградата, в която през зимата на 1872-73 се е състоял процесът срещу Васил Левски, продължава в централната част, където е била тронната зала (НХГ) и стаята със знамената (НЕМ), където е бил адютанта на Княза и преминава в официалната част (НХГ), където е била Балната зала на двореца. На този етап разказа върви за историята на Двореца като резиденция на българските монарси, чиито портрети са в залите на НХГ.</w:t>
      </w:r>
    </w:p>
    <w:p w14:paraId="0DCB08AF" w14:textId="77777777" w:rsidR="00F7661F" w:rsidRDefault="00F7661F" w:rsidP="00F7661F">
      <w:pPr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Следващата част на обиколката включа залите на НЕМ, където са покоите на царското семейство, с разказ за емблематични архитектурни елементи (третия в света електрически асансьор „Шиндлер“, камините, които Мария Луиза донася като зестра, и др.), като следва разказ и за нерадостната съдба на сградата в годините на ранния социализъм, преди в двореца да се нанесе НЕМ и кратка история на Музея.</w:t>
      </w:r>
    </w:p>
    <w:p w14:paraId="4118CE88" w14:textId="36F18258" w:rsidR="00F7661F" w:rsidRDefault="00C2223C" w:rsidP="00F7661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AFAE426" wp14:editId="0ECBAE7C">
                <wp:simplePos x="0" y="0"/>
                <wp:positionH relativeFrom="margin">
                  <wp:align>left</wp:align>
                </wp:positionH>
                <wp:positionV relativeFrom="paragraph">
                  <wp:posOffset>106679</wp:posOffset>
                </wp:positionV>
                <wp:extent cx="5715000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60E0A" id="Straight Connector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8.4pt" to="450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wmwwEAAN8DAAAOAAAAZHJzL2Uyb0RvYy54bWysU02P0zAQvSPxHyzfaZKVCihquoeu4LKC&#10;isIPmHXsxsL2WLZp0n/P2GnCp4RAXKzY897MvDeT3f1kDbvIEDW6jjebmjPpBPbanTv+6eObF685&#10;iwlcDwad7PhVRn6/f/5sN/pW3uGAppeBURIX29F3fEjJt1UVxSAtxA166SioMFhIdA3nqg8wUnZr&#10;qru6flmNGHofUMgY6fVhDvJ9ya+UFOm9UlEmZjpOvaVyhnI+5bPa76A9B/CDFrc24B+6sKAdFV1T&#10;PUAC9iXoX1JZLQJGVGkj0FaolBayaCA1Tf2TmtMAXhYtZE70q03x/6UV7y7HwHTf8S1nDiyN6JQC&#10;6POQ2AGdIwMxsG32afSxJfjBHUNWKiZ38o8oPkeKVT8E8yX6GTapYDOcpLKp+H5dfZdTYoIet6+a&#10;bV3TeMQSq6BdiD7E9FaiZfmj40a7bAm0cHmMKZeGdoHc+phLlybS1cgMNu6DVCSTijWFXRZMHkxg&#10;F6DVACGkS02WSfkKOtOUNmYl1n8m3vCZKsvy/Q15ZZTK6NJKttph+F31NC0tqxm/ODDrzhY8YX89&#10;hmVEtEVF4W3j85p+fy/0b//l/isAAAD//wMAUEsDBBQABgAIAAAAIQAqgj5X2wAAAAYBAAAPAAAA&#10;ZHJzL2Rvd25yZXYueG1sTI/BTsMwDIbvSHuHyJO4IJaA2LR1TSdAmnYAhFh5gKzx2mqNUzVp1/H0&#10;GHGAo7/f+v053YyuEQN2ofak4W6mQCAV3tZUavjMt7dLECEasqbxhBouGGCTTa5Sk1h/pg8c9rEU&#10;XEIhMRqqGNtEylBU6EyY+RaJs6PvnIk8dqW0nTlzuWvkvVIL6UxNfKEyLT5XWJz2vdOw2z7hy/zS&#10;lw92vstvhvz17et9qfX1dHxcg4g4xr9l+NFndcjY6eB7skE0GviRyHTB/pyulGJw+AUyS+V//ewb&#10;AAD//wMAUEsBAi0AFAAGAAgAAAAhALaDOJL+AAAA4QEAABMAAAAAAAAAAAAAAAAAAAAAAFtDb250&#10;ZW50X1R5cGVzXS54bWxQSwECLQAUAAYACAAAACEAOP0h/9YAAACUAQAACwAAAAAAAAAAAAAAAAAv&#10;AQAAX3JlbHMvLnJlbHNQSwECLQAUAAYACAAAACEAjUBMJsMBAADfAwAADgAAAAAAAAAAAAAAAAAu&#10;AgAAZHJzL2Uyb0RvYy54bWxQSwECLQAUAAYACAAAACEAKoI+V9sAAAAGAQAADwAAAAAAAAAAAAAA&#10;AAAdBAAAZHJzL2Rvd25yZXYueG1sUEsFBgAAAAAEAAQA8wAAACUFAAAAAA==&#10;" strokecolor="#4579b8 [3044]">
                <o:lock v:ext="edit" shapetype="f"/>
                <w10:wrap anchorx="margin"/>
              </v:line>
            </w:pict>
          </mc:Fallback>
        </mc:AlternateContent>
      </w:r>
    </w:p>
    <w:p w14:paraId="6FB810A5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19 септември 2026 г. (събота)</w:t>
      </w:r>
    </w:p>
    <w:p w14:paraId="03637099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Лекция: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bookmarkStart w:id="2" w:name="_Hlk240379581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„Изчезващи строителни занаяти – традиционно дърводелство“ </w:t>
      </w:r>
    </w:p>
    <w:bookmarkEnd w:id="2"/>
    <w:p w14:paraId="18E34B5E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Начален час: 14:00 ч.</w:t>
      </w:r>
    </w:p>
    <w:p w14:paraId="62CF07F3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Продължителност: 1 ч.</w:t>
      </w:r>
    </w:p>
    <w:p w14:paraId="3B70D4F6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Водещ: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д-р арх. Мирелла Кафкова, ИЕФЕМ – БАН</w:t>
      </w:r>
    </w:p>
    <w:p w14:paraId="72A6B97B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Анотация: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Лекцията „Изчезващи строителни занаяти – традиционно дърводелство“ разкрива вековните знания за работа с дървения материал – от избора на правилното дърво и точния момент за сеч до майсторската му обработка със специфични занаятчийски инструменти. Едно научнопопулярно пътешествие из традиционното майсторство, което разкрива кой и как превръща дървесината в устойчив и дълготраен архитектурен елемент.</w:t>
      </w:r>
    </w:p>
    <w:p w14:paraId="012694E8" w14:textId="57F724B4" w:rsidR="00F7661F" w:rsidRDefault="00C2223C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56B6086F" wp14:editId="373DC68F">
                <wp:simplePos x="0" y="0"/>
                <wp:positionH relativeFrom="column">
                  <wp:posOffset>40005</wp:posOffset>
                </wp:positionH>
                <wp:positionV relativeFrom="paragraph">
                  <wp:posOffset>102234</wp:posOffset>
                </wp:positionV>
                <wp:extent cx="563880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40B10" id="Straight Connector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.15pt,8.05pt" to="447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0p+xAEAAN8DAAAOAAAAZHJzL2Uyb0RvYy54bWysU02P0zAQvSPxHyzfadJlWVVR0z10BZcV&#10;VJT9AV7HbixsjzU2TfrvGTtN+JQQiIsVe96bmfdmsr0fnWVnhdGAb/l6VXOmvITO+FPLnz69fbXh&#10;LCbhO2HBq5ZfVOT3u5cvtkNo1A30YDuFjJL42Ayh5X1KoamqKHvlRFxBUJ6CGtCJRFc8VR2KgbI7&#10;W93U9V01AHYBQaoY6fVhCvJdya+1kumD1lElZltOvaVyYjmf81nttqI5oQi9kdc2xD904YTxVHRJ&#10;9SCSYF/Q/JLKGYkQQaeVBFeB1kaqooHUrOuf1Bx7EVTRQubEsNgU/19a+f58QGa6lt9y5oWjER0T&#10;CnPqE9uD92QgILvNPg0hNgTf+wNmpXL0x/AI8nOkWPVDMF9imGCjRpfhJJWNxffL4rsaE5P0+Obu&#10;9WZT03jkHKtEMxMDxvROgWP5o+XW+GyJaMT5MaZcWjQz5NrHVLo0kS5WZbD1H5UmmVRsXdhlwdTe&#10;IjsLWg0hpfJpnWVSvoLONG2sXYj1n4lXfKaqsnx/Q14YpTL4tJCd8YC/q57GuWU94WcHJt3Zgmfo&#10;LgecR0RbVBReNz6v6ff3Qv/2X+6+AgAA//8DAFBLAwQUAAYACAAAACEA9Z0iM9wAAAAHAQAADwAA&#10;AGRycy9kb3ducmV2LnhtbEyOQU7DMBBF90jcwRokNqh1Cm0UQpwKkKouKEI0PYAbD0lEPI5iJ005&#10;PYNYwHLe//rzsvVkWzFi7xtHChbzCARS6UxDlYJDsZklIHzQZHTrCBWc0cM6v7zIdGrcid5x3IdK&#10;8Aj5VCuoQ+hSKX1Zo9V+7jokzj5cb3Xgs6+k6fWJx20rb6MollY3xB9q3eFzjeXnfrAKtpsnfFmd&#10;h2ppVtviZix2r19viVLXV9PjA4iAU/grw48+q0POTkc3kPGiVRDfcZFxvADBcXK/ZHD8BTLP5H//&#10;/BsAAP//AwBQSwECLQAUAAYACAAAACEAtoM4kv4AAADhAQAAEwAAAAAAAAAAAAAAAAAAAAAAW0Nv&#10;bnRlbnRfVHlwZXNdLnhtbFBLAQItABQABgAIAAAAIQA4/SH/1gAAAJQBAAALAAAAAAAAAAAAAAAA&#10;AC8BAABfcmVscy8ucmVsc1BLAQItABQABgAIAAAAIQB9W0p+xAEAAN8DAAAOAAAAAAAAAAAAAAAA&#10;AC4CAABkcnMvZTJvRG9jLnhtbFBLAQItABQABgAIAAAAIQD1nSIz3AAAAAcBAAAPAAAAAAAAAAAA&#10;AAAAAB4EAABkcnMvZG93bnJldi54bWxQSwUGAAAAAAQABADzAAAAJwUAAAAA&#10;" strokecolor="#4579b8 [3044]">
                <o:lock v:ext="edit" shapetype="f"/>
              </v:line>
            </w:pict>
          </mc:Fallback>
        </mc:AlternateContent>
      </w:r>
    </w:p>
    <w:p w14:paraId="402B2714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Лекция: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„Архитектурна среда и памет: където материалното наследство среща живия занаят“</w:t>
      </w:r>
    </w:p>
    <w:p w14:paraId="5286F6D8" w14:textId="77777777" w:rsidR="00F7661F" w:rsidRDefault="00F7661F" w:rsidP="00F7661F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Начален час: 15:00 ч.</w:t>
      </w:r>
    </w:p>
    <w:p w14:paraId="1EB893D6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Продължителност: 1 ч. </w:t>
      </w:r>
    </w:p>
    <w:p w14:paraId="2A0C4AA4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Водещ: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Ирина Аргирова, ИЕФЕМ – БАН</w:t>
      </w:r>
    </w:p>
    <w:p w14:paraId="34983D83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Анотация: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Презентацията ще разкрие, чрез примери, неразривната връзка между архитектурната среда и застрашените от изчезване строителни занаяти, които са я създали. Загубата на тези традиционни умения, част от нематериалното наследство обрича материалното културно наследство на разруха, тъй като поддържането на автентичния вид е невъзможно без уменията на носителя им - майстора. Чрез съхраняването на живото знание ние не просто можем да запазим старите сгради, а да съхраним неповторимия дух и идентичност на мястото.</w:t>
      </w:r>
    </w:p>
    <w:p w14:paraId="4F7C8C74" w14:textId="5F1A4421" w:rsidR="00F7661F" w:rsidRDefault="00C2223C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F5E768" wp14:editId="1CD2D3F6">
                <wp:simplePos x="0" y="0"/>
                <wp:positionH relativeFrom="column">
                  <wp:posOffset>40005</wp:posOffset>
                </wp:positionH>
                <wp:positionV relativeFrom="paragraph">
                  <wp:posOffset>52705</wp:posOffset>
                </wp:positionV>
                <wp:extent cx="5683250" cy="6350"/>
                <wp:effectExtent l="0" t="0" r="12700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832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C2E674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4.15pt" to="450.6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0bUxQEAAOIDAAAOAAAAZHJzL2Uyb0RvYy54bWysU8uOEzEQvCPxD5bvZPLQRqtRJnvICi4r&#10;iAh8gNfTzljYbss2yeTvaXsesICEQFws213V3VVu7x56a9gFQtToGr5aLDkDJ7HV7tzwz5/evrnn&#10;LCbhWmHQQcNvEPnD/vWr3dXXsMYOTQuBURIX66tveJeSr6sqyg6siAv04CioMFiR6BjOVRvElbJb&#10;U62Xy211xdD6gBJipNvHIcj3Jb9SINMHpSIkZhpOvaWyhrI+57Xa70R9DsJ3Wo5tiH/owgrtqOic&#10;6lEkwb4G/Usqq2XAiCotJNoKldISigZSs1r+pObUCQ9FC5kT/WxT/H9p5fvLMTDdNnzDmROWnuiU&#10;gtDnLrEDOkcGYmCb7NPVx5rgB3cMWans3ck/ofwSKVa9COZD9AOsV8FmOEllffH9NvsOfWKSLu+2&#10;95v1HT2PpNh2Q7ucUtQT14eY3gFaljcNN9plV0QtLk8xDdAJMrYyVC99pJuBDDbuIyhSSvVWhV1m&#10;DA4msIug6RBSgkursXRBZ5rSxszE5Z+JIz5Toczf35BnRqmMLs1kqx2G31VP/dSyGvCTA4PubMEz&#10;trdjmF6JBqmYOw59ntQfz4X+/WvuvwEAAP//AwBQSwMEFAAGAAgAAAAhACPuoWrdAAAABQEAAA8A&#10;AABkcnMvZG93bnJldi54bWxMjsFOwzAQRO9I/QdrK3FB1CmlVRriVAWp6gEQoukHuPGSRI3XUeyk&#10;KV/PcoLTzmpGMy/djLYRA3a+dqRgPotAIBXO1FQqOOa7+xiED5qMbhyhgit62GSTm1Qnxl3oE4dD&#10;KAWXkE+0giqENpHSFxVa7WeuRWLvy3VWB367UppOX7jcNvIhilbS6pp4odItvlRYnA+9VbDfPePr&#10;8tqXj2a5z++G/O39+yNW6nY6bp9ABBzDXxh+8RkdMmY6uZ6MF42C1YKDCmI+7K6jOYsTiwXILJX/&#10;6bMfAAAA//8DAFBLAQItABQABgAIAAAAIQC2gziS/gAAAOEBAAATAAAAAAAAAAAAAAAAAAAAAABb&#10;Q29udGVudF9UeXBlc10ueG1sUEsBAi0AFAAGAAgAAAAhADj9If/WAAAAlAEAAAsAAAAAAAAAAAAA&#10;AAAALwEAAF9yZWxzLy5yZWxzUEsBAi0AFAAGAAgAAAAhAH8TRtTFAQAA4gMAAA4AAAAAAAAAAAAA&#10;AAAALgIAAGRycy9lMm9Eb2MueG1sUEsBAi0AFAAGAAgAAAAhACPuoWrdAAAABQEAAA8AAAAAAAAA&#10;AAAAAAAAHwQAAGRycy9kb3ducmV2LnhtbFBLBQYAAAAABAAEAPMAAAApBQAAAAA=&#10;" strokecolor="#4579b8 [3044]">
                <o:lock v:ext="edit" shapetype="f"/>
              </v:line>
            </w:pict>
          </mc:Fallback>
        </mc:AlternateContent>
      </w:r>
    </w:p>
    <w:p w14:paraId="78250B04" w14:textId="77777777" w:rsidR="00F7661F" w:rsidRDefault="00F7661F" w:rsidP="00F7661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Семейна работилница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 „Хлябът, който ни събира“</w:t>
      </w:r>
    </w:p>
    <w:p w14:paraId="4024803B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Начални часове: 12:00 ч. и 15:00 ч.</w:t>
      </w:r>
    </w:p>
    <w:p w14:paraId="535820F0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Продължителност: 1 ч. и 30 мин.</w:t>
      </w:r>
    </w:p>
    <w:p w14:paraId="76F4784B" w14:textId="77777777" w:rsidR="00F7661F" w:rsidRPr="00BD54E8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Максимален брой участници – 15 души</w:t>
      </w:r>
    </w:p>
    <w:p w14:paraId="1BB7BEAC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Водещ: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Боянова, ИЕФЕМ - БАН</w:t>
      </w:r>
    </w:p>
    <w:p w14:paraId="731A95D6" w14:textId="77777777" w:rsidR="00F7661F" w:rsidRDefault="00F7661F" w:rsidP="00F7661F">
      <w:p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Анотация: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Събитието ще пренесе възрастни и деца назад във времето, за да ги запознае с ролята на хляба в делника и празника на нашите предци. Ще поговорим за житните култури у българите и преработката им до брашно в миналото, за пособията, използвани в процеса, и поводите за приготвяне на квасен и безквасен хляб. Как европейски пътешественици в Османската империя са описали хляба в българското село и каква символика откриваме в украсата на обредните хлябове от традиционния период? Заповядайте при нас, за да потърсим отговор на тези любопитни въпроси. В практическата част от заниманието ще измесим собствени хлебчета по образци от Софийско, които ще хапнем в уютната обстановка на Националния етнографски музей.</w:t>
      </w:r>
    </w:p>
    <w:p w14:paraId="5DF32C46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4F66B3F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C7D265C" w14:textId="77777777" w:rsidR="00F7661F" w:rsidRPr="008302EB" w:rsidRDefault="00F7661F" w:rsidP="00F7661F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20 септември 2026 г. (неделя)</w:t>
      </w:r>
    </w:p>
    <w:p w14:paraId="38353C10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Лекция: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„Грънчарството в Троян – жива традиция или застрашен занаят?“</w:t>
      </w:r>
    </w:p>
    <w:p w14:paraId="6D4E04D5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Начален час: 14:00 ч.</w:t>
      </w:r>
    </w:p>
    <w:p w14:paraId="651C431B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Продължителност: 1 ч.</w:t>
      </w:r>
    </w:p>
    <w:p w14:paraId="08475A06" w14:textId="77777777" w:rsidR="00F7661F" w:rsidRDefault="00F7661F" w:rsidP="00F766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Водещ: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Женя Георгиева, ИЕФЕМ – БАН</w:t>
      </w:r>
    </w:p>
    <w:p w14:paraId="4735DE59" w14:textId="7BA9603B" w:rsidR="00F7661F" w:rsidRPr="00F7661F" w:rsidRDefault="00F7661F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Анотация: Презентацията разглежда съвременното състояние на троянската керамична традиция и предизвикателствата, свързани с нейното опазване в контекста на критериите на ЮНЕСКО и Националната система „Живи човешки съкровища – България“. Фокусът е върху необходимостта от разграничаване на керамиката като чисто производствена/занаятчийска практика и троянската „шарка“ като специфична, декоративна система, а също така и върху превръщането на занаята от основен поминък и семейна традиция в масов пазарен сувенир, прекъсвайки приемствеността между поколенията и застрашавайки от изчезване деликатния баланс между наследената технология и локалната естетика.</w:t>
      </w:r>
    </w:p>
    <w:p w14:paraId="789FEA53" w14:textId="1958267A" w:rsidR="00F7661F" w:rsidRDefault="00C2223C" w:rsidP="00F7661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6AAEB5" wp14:editId="12210F64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5721350" cy="12700"/>
                <wp:effectExtent l="0" t="0" r="12700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213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C64382" id="Straight Connector 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9.3pt,5.05pt" to="849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6FB0AEAAO0DAAAOAAAAZHJzL2Uyb0RvYy54bWysU02P0zAQvSPxHyzfaZKiZVHUdA9dwWUF&#10;FQXuXmfcWNgeyzZN+u8ZO22WLyGBuFixZ96b92Ymm7vJGnaCEDW6jjermjNwEnvtjh3/9PHNi9ec&#10;xSRcLww66PgZIr/bPn+2GX0LaxzQ9BAYkbjYjr7jQ0q+raooB7AirtCDo6DCYEWiazhWfRAjsVtT&#10;rev6VTVi6H1ACTHS6/0c5NvCrxTI9F6pCImZjpO2VM5Qzsd8VtuNaI9B+EHLiwzxDyqs0I6KLlT3&#10;Ign2NehfqKyWASOqtJJoK1RKSygeyE1T/+TmMAgPxQs1J/qlTfH/0cp3p31guqfZceaEpREdUhD6&#10;OCS2Q+eogRhYk/s0+thS+s7tQ3YqJ3fwDyi/RIpVPwTzJfo5bVLBMmW0/5xLZCCZZlOZwHmZAEyJ&#10;SXq8uV03L29oUJJizfq2LhOqRJtpMtiHmN4CWpY/Om60yw0SrTg9xJSFPKVcVM1CiqR0NpCTjfsA&#10;ikxTwVlSWTfYmcBOghZFSAkuFdPEV7IzTGljFmBdyv4ReMnPUCir+DfgBVEqo0sL2GqH4XfV03SV&#10;rOb8awdm37kFj9if9+E6MNqp0rHL/uel/f5e4E9/6fYbAAAA//8DAFBLAwQUAAYACAAAACEApo2b&#10;A9cAAAAGAQAADwAAAGRycy9kb3ducmV2LnhtbEyPwU7DMAyG70i8Q2QkbixJhRCUphNi7IwYIHHM&#10;GtMWEqdKsq19e8wJjv5+6/fnZj0HL46Y8hjJgF4pEEhddCP1Bt5et1e3IHKx5KyPhAYWzLBuz88a&#10;W7t4ohc87kovuIRybQ0MpUy1lLkbMNi8ihMSZ58xBVt4TL10yZ64PHhZKXUjgx2JLwx2wscBu+/d&#10;IRjIvn/6Wt6XuKlcWjbb/IHP+tqYy4v54R5Ewbn8LcOvPqtDy077eCCXhTfAjxSmSoPg9E5pBnsG&#10;lQbZNvK/fvsDAAD//wMAUEsBAi0AFAAGAAgAAAAhALaDOJL+AAAA4QEAABMAAAAAAAAAAAAAAAAA&#10;AAAAAFtDb250ZW50X1R5cGVzXS54bWxQSwECLQAUAAYACAAAACEAOP0h/9YAAACUAQAACwAAAAAA&#10;AAAAAAAAAAAvAQAAX3JlbHMvLnJlbHNQSwECLQAUAAYACAAAACEANhehQdABAADtAwAADgAAAAAA&#10;AAAAAAAAAAAuAgAAZHJzL2Uyb0RvYy54bWxQSwECLQAUAAYACAAAACEApo2bA9cAAAAGAQAADwAA&#10;AAAAAAAAAAAAAAAqBAAAZHJzL2Rvd25yZXYueG1sUEsFBgAAAAAEAAQA8wAAAC4FAAAAAA==&#10;" strokecolor="#4579b8 [3044]">
                <o:lock v:ext="edit" shapetype="f"/>
                <w10:wrap anchorx="margin"/>
              </v:line>
            </w:pict>
          </mc:Fallback>
        </mc:AlternateContent>
      </w:r>
    </w:p>
    <w:p w14:paraId="29ED64DF" w14:textId="77777777" w:rsidR="00F7661F" w:rsidRDefault="00F7661F" w:rsidP="00F7661F">
      <w:pPr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Семейна работилница: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bookmarkStart w:id="3" w:name="_Hlk240379408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Код: Шевица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Творческо ателие за създаване на музеен паспорт на шевица от Софийско. </w:t>
      </w:r>
    </w:p>
    <w:bookmarkEnd w:id="3"/>
    <w:p w14:paraId="13437616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Начален час: 12:00 ч. </w:t>
      </w:r>
    </w:p>
    <w:p w14:paraId="1E15F0E0" w14:textId="77777777" w:rsidR="00F7661F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Продължителност: 1 ч. и 30 мин.</w:t>
      </w:r>
    </w:p>
    <w:p w14:paraId="4AC694C5" w14:textId="77777777" w:rsidR="00F7661F" w:rsidRPr="00BD54E8" w:rsidRDefault="00F7661F" w:rsidP="00F7661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Максимален брой участници – 20 души</w:t>
      </w:r>
    </w:p>
    <w:p w14:paraId="3F4629C6" w14:textId="77777777" w:rsidR="00F7661F" w:rsidRDefault="00F7661F" w:rsidP="00F7661F">
      <w:pPr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Водещ: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Десислава Васова, ИЕФЕМ – БАН</w:t>
      </w:r>
    </w:p>
    <w:p w14:paraId="01BD7377" w14:textId="77777777" w:rsidR="00F7661F" w:rsidRDefault="00F7661F" w:rsidP="00F7661F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Анотация: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Квартал фестивал ни среща с историите на града и неговите места. В Етнографския музей ви каним да направите още една крачка към опознаването на местното наследство, като създадете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паспорт на шевица от Софийско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рисунка и кратко описание на традиционен мотив, вдъхновен от богатството на софийската везбена традиция. По време на ателието ще се запознаете с характерни шевици от Софийския край и ще изработите свой музеен паспорт, който да отнесете със себе си.</w:t>
      </w:r>
    </w:p>
    <w:p w14:paraId="5C034A3C" w14:textId="77777777" w:rsidR="00F7661F" w:rsidRDefault="00F7661F" w:rsidP="00F7661F">
      <w:pPr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63597E3B" w14:textId="34D44CDD" w:rsidR="00EE712C" w:rsidRPr="009B4A85" w:rsidRDefault="00EE712C" w:rsidP="00F7661F">
      <w:pPr>
        <w:pStyle w:val="kvgmc6g5"/>
        <w:spacing w:after="360"/>
        <w:jc w:val="both"/>
        <w:rPr>
          <w:rFonts w:asciiTheme="majorHAnsi" w:hAnsiTheme="majorHAnsi"/>
          <w:color w:val="444444"/>
          <w:lang w:val="bg-BG"/>
        </w:rPr>
      </w:pPr>
    </w:p>
    <w:sectPr w:rsidR="00EE712C" w:rsidRPr="009B4A85" w:rsidSect="009D41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996"/>
    <w:rsid w:val="000110C6"/>
    <w:rsid w:val="00023474"/>
    <w:rsid w:val="00051954"/>
    <w:rsid w:val="00075279"/>
    <w:rsid w:val="000D49E1"/>
    <w:rsid w:val="000E2483"/>
    <w:rsid w:val="00111099"/>
    <w:rsid w:val="001555C6"/>
    <w:rsid w:val="00185AE7"/>
    <w:rsid w:val="001A6887"/>
    <w:rsid w:val="001E2E06"/>
    <w:rsid w:val="00226996"/>
    <w:rsid w:val="00273C2E"/>
    <w:rsid w:val="00290FC2"/>
    <w:rsid w:val="002A3391"/>
    <w:rsid w:val="002C30AA"/>
    <w:rsid w:val="002D30D5"/>
    <w:rsid w:val="00325A4C"/>
    <w:rsid w:val="00332354"/>
    <w:rsid w:val="00332984"/>
    <w:rsid w:val="00394546"/>
    <w:rsid w:val="003951C5"/>
    <w:rsid w:val="003A26E0"/>
    <w:rsid w:val="003F5895"/>
    <w:rsid w:val="003F77A9"/>
    <w:rsid w:val="004124DD"/>
    <w:rsid w:val="00420598"/>
    <w:rsid w:val="00431D9F"/>
    <w:rsid w:val="004429B1"/>
    <w:rsid w:val="00460951"/>
    <w:rsid w:val="00465418"/>
    <w:rsid w:val="0049294A"/>
    <w:rsid w:val="004B4B04"/>
    <w:rsid w:val="005018AF"/>
    <w:rsid w:val="00515760"/>
    <w:rsid w:val="00516044"/>
    <w:rsid w:val="00546EB0"/>
    <w:rsid w:val="005C07E1"/>
    <w:rsid w:val="005C209A"/>
    <w:rsid w:val="005D3B14"/>
    <w:rsid w:val="006846F6"/>
    <w:rsid w:val="006957EC"/>
    <w:rsid w:val="006C6F16"/>
    <w:rsid w:val="006D295F"/>
    <w:rsid w:val="006D5513"/>
    <w:rsid w:val="0076083B"/>
    <w:rsid w:val="00766D4E"/>
    <w:rsid w:val="0077665F"/>
    <w:rsid w:val="007952DA"/>
    <w:rsid w:val="007A4236"/>
    <w:rsid w:val="007B50EF"/>
    <w:rsid w:val="007D07BA"/>
    <w:rsid w:val="007F34D5"/>
    <w:rsid w:val="0081286F"/>
    <w:rsid w:val="0086582D"/>
    <w:rsid w:val="008A7C02"/>
    <w:rsid w:val="008B6E25"/>
    <w:rsid w:val="008F0AB2"/>
    <w:rsid w:val="00931764"/>
    <w:rsid w:val="0094399C"/>
    <w:rsid w:val="00950E7F"/>
    <w:rsid w:val="00973013"/>
    <w:rsid w:val="00984EDE"/>
    <w:rsid w:val="009B4A85"/>
    <w:rsid w:val="009D4198"/>
    <w:rsid w:val="00A02710"/>
    <w:rsid w:val="00A220BD"/>
    <w:rsid w:val="00A31822"/>
    <w:rsid w:val="00A973AE"/>
    <w:rsid w:val="00B1379F"/>
    <w:rsid w:val="00B26DA8"/>
    <w:rsid w:val="00B32341"/>
    <w:rsid w:val="00B4076A"/>
    <w:rsid w:val="00B9280F"/>
    <w:rsid w:val="00BE0660"/>
    <w:rsid w:val="00C0258C"/>
    <w:rsid w:val="00C057BD"/>
    <w:rsid w:val="00C0686F"/>
    <w:rsid w:val="00C127AD"/>
    <w:rsid w:val="00C2223C"/>
    <w:rsid w:val="00C25783"/>
    <w:rsid w:val="00C4018F"/>
    <w:rsid w:val="00C63E98"/>
    <w:rsid w:val="00C66D1E"/>
    <w:rsid w:val="00C769AF"/>
    <w:rsid w:val="00CA02AC"/>
    <w:rsid w:val="00CF2D4A"/>
    <w:rsid w:val="00D03E17"/>
    <w:rsid w:val="00D10973"/>
    <w:rsid w:val="00D27C80"/>
    <w:rsid w:val="00D37316"/>
    <w:rsid w:val="00D41DE3"/>
    <w:rsid w:val="00D9319B"/>
    <w:rsid w:val="00D9535D"/>
    <w:rsid w:val="00D9673D"/>
    <w:rsid w:val="00DA477E"/>
    <w:rsid w:val="00DA7B2A"/>
    <w:rsid w:val="00DB464B"/>
    <w:rsid w:val="00DC6714"/>
    <w:rsid w:val="00DD0FD8"/>
    <w:rsid w:val="00E024BC"/>
    <w:rsid w:val="00E03964"/>
    <w:rsid w:val="00E22D59"/>
    <w:rsid w:val="00EE712C"/>
    <w:rsid w:val="00F4685B"/>
    <w:rsid w:val="00F54B4B"/>
    <w:rsid w:val="00F63A4A"/>
    <w:rsid w:val="00F7661F"/>
    <w:rsid w:val="00FB5DCD"/>
    <w:rsid w:val="00FC3378"/>
    <w:rsid w:val="00F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619C2"/>
  <w15:docId w15:val="{C6FA23D8-D8D9-4D58-81A9-C265456B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013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02710"/>
    <w:rPr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A02710"/>
    <w:pPr>
      <w:spacing w:after="0" w:line="240" w:lineRule="auto"/>
    </w:pPr>
    <w:rPr>
      <w:rFonts w:eastAsiaTheme="minorHAnsi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02710"/>
    <w:rPr>
      <w:rFonts w:eastAsiaTheme="minorHAnsi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unhideWhenUsed/>
    <w:rsid w:val="00B3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vgmc6g5">
    <w:name w:val="kvgmc6g5"/>
    <w:basedOn w:val="Normal"/>
    <w:rsid w:val="008B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9v6fnle">
    <w:name w:val="o9v6fnle"/>
    <w:basedOn w:val="Normal"/>
    <w:rsid w:val="008B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6E25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0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toshiba-c850-13v</dc:creator>
  <cp:lastModifiedBy>Velina</cp:lastModifiedBy>
  <cp:revision>2</cp:revision>
  <dcterms:created xsi:type="dcterms:W3CDTF">2026-09-16T08:30:00Z</dcterms:created>
  <dcterms:modified xsi:type="dcterms:W3CDTF">2026-09-16T08:30:00Z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81cadd80-3018-4503-8cee-038ec24479eb</vt:lpwstr>
  </property>
</Properties>
</file>